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华文中宋" w:hAnsi="华文中宋" w:eastAsia="华文中宋" w:cs="华文中宋"/>
          <w:b w:val="0"/>
          <w:bCs/>
          <w:lang w:val="en-US" w:eastAsia="zh-CN"/>
        </w:rPr>
      </w:pPr>
      <w:bookmarkStart w:id="0" w:name="_Toc21360"/>
    </w:p>
    <w:p>
      <w:pPr>
        <w:pStyle w:val="2"/>
        <w:bidi w:val="0"/>
        <w:jc w:val="center"/>
        <w:rPr>
          <w:rFonts w:hint="eastAsia" w:ascii="华文中宋" w:hAnsi="华文中宋" w:eastAsia="华文中宋" w:cs="华文中宋"/>
          <w:b w:val="0"/>
          <w:bCs/>
          <w:lang w:val="en-US" w:eastAsia="zh-CN"/>
        </w:rPr>
      </w:pPr>
    </w:p>
    <w:p>
      <w:pPr>
        <w:pStyle w:val="2"/>
        <w:bidi w:val="0"/>
        <w:jc w:val="center"/>
        <w:rPr>
          <w:rFonts w:hint="eastAsia" w:ascii="华文中宋" w:hAnsi="华文中宋" w:eastAsia="华文中宋" w:cs="华文中宋"/>
          <w:b/>
          <w:bCs w:val="0"/>
          <w:sz w:val="52"/>
          <w:szCs w:val="32"/>
          <w:lang w:val="en-US" w:eastAsia="zh-CN"/>
        </w:rPr>
      </w:pPr>
      <w:r>
        <w:rPr>
          <w:rFonts w:hint="eastAsia" w:ascii="华文中宋" w:hAnsi="华文中宋" w:eastAsia="华文中宋" w:cs="华文中宋"/>
          <w:b/>
          <w:bCs w:val="0"/>
          <w:sz w:val="52"/>
          <w:szCs w:val="32"/>
          <w:lang w:val="en-US" w:eastAsia="zh-CN"/>
        </w:rPr>
        <w:t>科技政策汇编摘要</w:t>
      </w:r>
    </w:p>
    <w:p>
      <w:pPr>
        <w:pStyle w:val="2"/>
        <w:bidi w:val="0"/>
        <w:jc w:val="center"/>
        <w:rPr>
          <w:rFonts w:hint="eastAsia" w:ascii="华文中宋" w:hAnsi="华文中宋" w:eastAsia="华文中宋" w:cs="华文中宋"/>
          <w:b w:val="0"/>
          <w:bCs/>
          <w:lang w:val="en-US" w:eastAsia="zh-CN"/>
        </w:rPr>
      </w:pPr>
    </w:p>
    <w:p>
      <w:pPr>
        <w:pStyle w:val="2"/>
        <w:bidi w:val="0"/>
        <w:jc w:val="center"/>
        <w:rPr>
          <w:rFonts w:hint="eastAsia" w:ascii="华文中宋" w:hAnsi="华文中宋" w:eastAsia="华文中宋" w:cs="华文中宋"/>
          <w:b w:val="0"/>
          <w:bCs/>
          <w:lang w:val="en-US" w:eastAsia="zh-CN"/>
        </w:rPr>
      </w:pPr>
    </w:p>
    <w:p>
      <w:pPr>
        <w:pStyle w:val="2"/>
        <w:bidi w:val="0"/>
        <w:jc w:val="center"/>
        <w:rPr>
          <w:rFonts w:hint="eastAsia" w:ascii="华文中宋" w:hAnsi="华文中宋" w:eastAsia="华文中宋" w:cs="华文中宋"/>
          <w:b w:val="0"/>
          <w:bCs/>
          <w:lang w:val="en-US" w:eastAsia="zh-CN"/>
        </w:rPr>
      </w:pPr>
    </w:p>
    <w:p>
      <w:pPr>
        <w:pStyle w:val="2"/>
        <w:bidi w:val="0"/>
        <w:jc w:val="center"/>
        <w:rPr>
          <w:rFonts w:hint="eastAsia" w:ascii="华文中宋" w:hAnsi="华文中宋" w:eastAsia="华文中宋" w:cs="华文中宋"/>
          <w:b w:val="0"/>
          <w:bCs/>
          <w:lang w:val="en-US" w:eastAsia="zh-CN"/>
        </w:rPr>
      </w:pPr>
    </w:p>
    <w:p>
      <w:pPr>
        <w:pStyle w:val="2"/>
        <w:bidi w:val="0"/>
        <w:jc w:val="center"/>
        <w:rPr>
          <w:rFonts w:hint="eastAsia" w:ascii="华文中宋" w:hAnsi="华文中宋" w:eastAsia="华文中宋" w:cs="华文中宋"/>
          <w:b w:val="0"/>
          <w:bCs/>
          <w:lang w:val="en-US" w:eastAsia="zh-CN"/>
        </w:rPr>
      </w:pPr>
    </w:p>
    <w:p>
      <w:pPr>
        <w:pStyle w:val="2"/>
        <w:bidi w:val="0"/>
        <w:jc w:val="center"/>
        <w:rPr>
          <w:rFonts w:hint="eastAsia" w:ascii="华文中宋" w:hAnsi="华文中宋" w:eastAsia="华文中宋" w:cs="华文中宋"/>
          <w:b w:val="0"/>
          <w:bCs/>
          <w:lang w:val="en-US" w:eastAsia="zh-CN"/>
        </w:rPr>
      </w:pPr>
    </w:p>
    <w:p>
      <w:pPr>
        <w:pStyle w:val="2"/>
        <w:bidi w:val="0"/>
        <w:jc w:val="center"/>
        <w:rPr>
          <w:rFonts w:hint="eastAsia" w:ascii="华文中宋" w:hAnsi="华文中宋" w:eastAsia="华文中宋" w:cs="华文中宋"/>
          <w:b w:val="0"/>
          <w:bCs/>
          <w:lang w:val="en-US" w:eastAsia="zh-CN"/>
        </w:rPr>
      </w:pPr>
    </w:p>
    <w:p>
      <w:pPr>
        <w:pStyle w:val="2"/>
        <w:bidi w:val="0"/>
        <w:jc w:val="center"/>
        <w:rPr>
          <w:rFonts w:hint="eastAsia" w:ascii="华文中宋" w:hAnsi="华文中宋" w:eastAsia="华文中宋" w:cs="华文中宋"/>
          <w:b w:val="0"/>
          <w:bCs/>
          <w:lang w:val="en-US" w:eastAsia="zh-CN"/>
        </w:rPr>
      </w:pPr>
    </w:p>
    <w:p>
      <w:pPr>
        <w:pStyle w:val="2"/>
        <w:bidi w:val="0"/>
        <w:jc w:val="center"/>
        <w:rPr>
          <w:rFonts w:hint="eastAsia" w:ascii="华文中宋" w:hAnsi="华文中宋" w:eastAsia="华文中宋" w:cs="华文中宋"/>
          <w:b w:val="0"/>
          <w:bCs/>
          <w:lang w:val="en-US" w:eastAsia="zh-CN"/>
        </w:rPr>
      </w:pPr>
      <w:r>
        <w:rPr>
          <w:rFonts w:hint="eastAsia" w:ascii="华文中宋" w:hAnsi="华文中宋" w:eastAsia="华文中宋" w:cs="华文中宋"/>
          <w:b w:val="0"/>
          <w:bCs/>
          <w:lang w:val="en-US" w:eastAsia="zh-CN"/>
        </w:rPr>
        <w:t>二零二一年六月</w:t>
      </w:r>
    </w:p>
    <w:p>
      <w:pPr>
        <w:pStyle w:val="2"/>
        <w:bidi w:val="0"/>
        <w:jc w:val="center"/>
        <w:rPr>
          <w:rFonts w:hint="eastAsia" w:ascii="华文中宋" w:hAnsi="华文中宋" w:eastAsia="华文中宋" w:cs="华文中宋"/>
          <w:b w:val="0"/>
          <w:bCs/>
          <w:lang w:val="en-US" w:eastAsia="zh-CN"/>
        </w:rPr>
      </w:pPr>
      <w:r>
        <w:rPr>
          <w:rFonts w:hint="eastAsia" w:ascii="华文中宋" w:hAnsi="华文中宋" w:eastAsia="华文中宋" w:cs="华文中宋"/>
          <w:b w:val="0"/>
          <w:bCs/>
          <w:lang w:val="en-US" w:eastAsia="zh-CN"/>
        </w:rPr>
        <w:t xml:space="preserve">目   </w:t>
      </w:r>
      <w:bookmarkStart w:id="75" w:name="_GoBack"/>
      <w:bookmarkEnd w:id="75"/>
      <w:r>
        <w:rPr>
          <w:rFonts w:hint="eastAsia" w:ascii="华文中宋" w:hAnsi="华文中宋" w:eastAsia="华文中宋" w:cs="华文中宋"/>
          <w:b w:val="0"/>
          <w:bCs/>
          <w:lang w:val="en-US" w:eastAsia="zh-CN"/>
        </w:rPr>
        <w:t>录</w:t>
      </w:r>
      <w:bookmarkEnd w:id="0"/>
    </w:p>
    <w:sdt>
      <w:sdtPr>
        <w:rPr>
          <w:rFonts w:ascii="宋体" w:hAnsi="宋体" w:eastAsia="宋体" w:cstheme="minorBidi"/>
          <w:kern w:val="2"/>
          <w:sz w:val="21"/>
          <w:szCs w:val="24"/>
          <w:lang w:val="en-US" w:eastAsia="zh-CN" w:bidi="ar-SA"/>
        </w:rPr>
        <w:id w:val="147452822"/>
        <w15:color w:val="DBDBDB"/>
        <w:docPartObj>
          <w:docPartGallery w:val="Table of Contents"/>
          <w:docPartUnique/>
        </w:docPartObj>
      </w:sdtPr>
      <w:sdtEndPr>
        <w:rPr>
          <w:rFonts w:hint="default" w:ascii="黑体" w:hAnsi="黑体" w:eastAsia="黑体" w:cs="黑体"/>
          <w:b/>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15"/>
            <w:tabs>
              <w:tab w:val="right" w:leader="dot" w:pos="8306"/>
            </w:tabs>
            <w:rPr>
              <w:rFonts w:hint="eastAsia" w:ascii="黑体" w:hAnsi="黑体" w:eastAsia="黑体" w:cs="黑体"/>
              <w:b w:val="0"/>
              <w:bCs/>
              <w:color w:val="auto"/>
            </w:rPr>
          </w:pPr>
          <w:r>
            <w:rPr>
              <w:rFonts w:hint="default" w:ascii="黑体" w:hAnsi="黑体" w:eastAsia="黑体" w:cs="黑体"/>
              <w:kern w:val="2"/>
              <w:sz w:val="21"/>
              <w:szCs w:val="32"/>
              <w:lang w:val="en-US" w:eastAsia="zh-CN" w:bidi="ar-SA"/>
            </w:rPr>
            <w:fldChar w:fldCharType="begin"/>
          </w:r>
          <w:r>
            <w:rPr>
              <w:rFonts w:hint="default" w:ascii="黑体" w:hAnsi="黑体" w:eastAsia="黑体" w:cs="黑体"/>
              <w:kern w:val="2"/>
              <w:sz w:val="21"/>
              <w:szCs w:val="32"/>
              <w:lang w:val="en-US" w:eastAsia="zh-CN" w:bidi="ar-SA"/>
            </w:rPr>
            <w:instrText xml:space="preserve">TOC \o "1-2" \h \u </w:instrText>
          </w:r>
          <w:r>
            <w:rPr>
              <w:rFonts w:hint="default" w:ascii="黑体" w:hAnsi="黑体" w:eastAsia="黑体" w:cs="黑体"/>
              <w:kern w:val="2"/>
              <w:sz w:val="21"/>
              <w:szCs w:val="32"/>
              <w:lang w:val="en-US" w:eastAsia="zh-CN" w:bidi="ar-SA"/>
            </w:rPr>
            <w:fldChar w:fldCharType="separate"/>
          </w:r>
          <w:r>
            <w:rPr>
              <w:rFonts w:hint="eastAsia" w:ascii="黑体" w:hAnsi="黑体" w:eastAsia="黑体" w:cs="黑体"/>
              <w:b w:val="0"/>
              <w:bCs/>
              <w:color w:val="auto"/>
              <w:kern w:val="2"/>
              <w:szCs w:val="32"/>
              <w:lang w:val="en-US" w:eastAsia="zh-CN" w:bidi="ar-SA"/>
            </w:rPr>
            <w:fldChar w:fldCharType="begin"/>
          </w:r>
          <w:r>
            <w:rPr>
              <w:rFonts w:hint="eastAsia" w:ascii="黑体" w:hAnsi="黑体" w:eastAsia="黑体" w:cs="黑体"/>
              <w:b w:val="0"/>
              <w:bCs/>
              <w:color w:val="auto"/>
              <w:kern w:val="2"/>
              <w:szCs w:val="32"/>
              <w:lang w:val="en-US" w:eastAsia="zh-CN" w:bidi="ar-SA"/>
            </w:rPr>
            <w:instrText xml:space="preserve"> HYPERLINK \l _Toc15515 </w:instrText>
          </w:r>
          <w:r>
            <w:rPr>
              <w:rFonts w:hint="eastAsia" w:ascii="黑体" w:hAnsi="黑体" w:eastAsia="黑体" w:cs="黑体"/>
              <w:b w:val="0"/>
              <w:bCs/>
              <w:color w:val="auto"/>
              <w:kern w:val="2"/>
              <w:szCs w:val="32"/>
              <w:lang w:val="en-US" w:eastAsia="zh-CN" w:bidi="ar-SA"/>
            </w:rPr>
            <w:fldChar w:fldCharType="separate"/>
          </w:r>
          <w:r>
            <w:rPr>
              <w:rFonts w:hint="eastAsia" w:ascii="黑体" w:hAnsi="黑体" w:eastAsia="黑体" w:cs="黑体"/>
              <w:b w:val="0"/>
              <w:bCs/>
              <w:color w:val="auto"/>
              <w:lang w:val="en-US" w:eastAsia="zh-CN"/>
            </w:rPr>
            <w:t>创新型企业标准及奖补政策</w:t>
          </w:r>
          <w:r>
            <w:rPr>
              <w:rFonts w:hint="eastAsia" w:ascii="黑体" w:hAnsi="黑体" w:eastAsia="黑体" w:cs="黑体"/>
              <w:b w:val="0"/>
              <w:bCs/>
              <w:color w:val="auto"/>
            </w:rPr>
            <w:tab/>
          </w:r>
          <w:r>
            <w:rPr>
              <w:rFonts w:hint="eastAsia" w:ascii="黑体" w:hAnsi="黑体" w:eastAsia="黑体" w:cs="黑体"/>
              <w:b w:val="0"/>
              <w:bCs/>
              <w:color w:val="auto"/>
              <w:lang w:val="en-US" w:eastAsia="zh-CN"/>
            </w:rPr>
            <w:t>1</w:t>
          </w:r>
          <w:r>
            <w:rPr>
              <w:rFonts w:hint="eastAsia" w:ascii="黑体" w:hAnsi="黑体" w:eastAsia="黑体" w:cs="黑体"/>
              <w:b w:val="0"/>
              <w:bCs/>
              <w:color w:val="auto"/>
              <w:kern w:val="2"/>
              <w:szCs w:val="32"/>
              <w:lang w:val="en-US" w:eastAsia="zh-CN" w:bidi="ar-SA"/>
            </w:rPr>
            <w:fldChar w:fldCharType="end"/>
          </w:r>
        </w:p>
        <w:p>
          <w:pPr>
            <w:pStyle w:val="15"/>
            <w:tabs>
              <w:tab w:val="right" w:leader="dot" w:pos="8306"/>
            </w:tabs>
            <w:rPr>
              <w:rFonts w:hint="eastAsia" w:ascii="黑体" w:hAnsi="黑体" w:eastAsia="黑体" w:cs="黑体"/>
              <w:b w:val="0"/>
              <w:bCs/>
              <w:kern w:val="2"/>
              <w:szCs w:val="32"/>
              <w:lang w:val="en-US" w:eastAsia="zh-CN" w:bidi="ar-SA"/>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_Toc18313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vertAlign w:val="baseline"/>
              <w:lang w:val="en-US" w:eastAsia="zh-CN"/>
            </w:rPr>
            <w:t>一、科技型中小企业</w:t>
          </w:r>
          <w:r>
            <w:rPr>
              <w:rFonts w:hint="eastAsia" w:ascii="黑体" w:hAnsi="黑体" w:eastAsia="黑体" w:cs="黑体"/>
              <w:b w:val="0"/>
              <w:bCs/>
            </w:rPr>
            <w:tab/>
          </w:r>
          <w:r>
            <w:rPr>
              <w:rFonts w:hint="eastAsia" w:ascii="黑体" w:hAnsi="黑体" w:eastAsia="黑体" w:cs="黑体"/>
              <w:b w:val="0"/>
              <w:bCs/>
              <w:lang w:val="en-US" w:eastAsia="zh-CN"/>
            </w:rPr>
            <w:t>1</w:t>
          </w:r>
          <w:r>
            <w:rPr>
              <w:rFonts w:hint="eastAsia" w:ascii="黑体" w:hAnsi="黑体" w:eastAsia="黑体" w:cs="黑体"/>
              <w:b w:val="0"/>
              <w:bCs/>
              <w:kern w:val="2"/>
              <w:szCs w:val="32"/>
              <w:lang w:val="en-US" w:eastAsia="zh-CN" w:bidi="ar-SA"/>
            </w:rPr>
            <w:fldChar w:fldCharType="end"/>
          </w:r>
        </w:p>
        <w:p>
          <w:pPr>
            <w:pStyle w:val="15"/>
            <w:tabs>
              <w:tab w:val="right" w:leader="dot" w:pos="8306"/>
            </w:tabs>
            <w:rPr>
              <w:rFonts w:hint="eastAsia" w:ascii="仿宋" w:hAnsi="仿宋" w:eastAsia="仿宋" w:cs="仿宋"/>
              <w:b w:val="0"/>
              <w:bCs/>
              <w:kern w:val="2"/>
              <w:szCs w:val="32"/>
              <w:lang w:val="en-US" w:eastAsia="zh-CN" w:bidi="ar-SA"/>
            </w:rPr>
          </w:pPr>
          <w:r>
            <w:rPr>
              <w:rFonts w:hint="eastAsia" w:ascii="黑体" w:hAnsi="黑体" w:eastAsia="黑体" w:cs="黑体"/>
              <w:b w:val="0"/>
              <w:bCs/>
              <w:kern w:val="2"/>
              <w:szCs w:val="32"/>
              <w:lang w:val="en-US" w:eastAsia="zh-CN" w:bidi="ar-SA"/>
            </w:rPr>
            <w:t xml:space="preserve">  </w:t>
          </w:r>
          <w:r>
            <w:rPr>
              <w:rFonts w:hint="eastAsia" w:ascii="仿宋" w:hAnsi="仿宋" w:eastAsia="仿宋" w:cs="仿宋"/>
              <w:szCs w:val="32"/>
              <w:lang w:val="en-US" w:eastAsia="zh-CN"/>
            </w:rPr>
            <w:t>（一）科技型中小企业申请标准</w:t>
          </w:r>
          <w:r>
            <w:rPr>
              <w:rFonts w:hint="eastAsia" w:ascii="仿宋" w:hAnsi="仿宋" w:eastAsia="仿宋" w:cs="仿宋"/>
            </w:rPr>
            <w:tab/>
          </w:r>
          <w:r>
            <w:rPr>
              <w:rFonts w:hint="eastAsia" w:ascii="仿宋" w:hAnsi="仿宋" w:eastAsia="仿宋" w:cs="仿宋"/>
              <w:lang w:val="en-US" w:eastAsia="zh-CN"/>
            </w:rPr>
            <w:t>1</w:t>
          </w:r>
        </w:p>
        <w:p>
          <w:pPr>
            <w:pStyle w:val="16"/>
            <w:tabs>
              <w:tab w:val="right" w:leader="dot" w:pos="8306"/>
            </w:tabs>
            <w:ind w:left="0" w:leftChars="0" w:firstLine="200" w:firstLineChars="100"/>
            <w:rPr>
              <w:rFonts w:hint="eastAsia" w:ascii="仿宋" w:hAnsi="仿宋" w:eastAsia="仿宋" w:cs="仿宋"/>
              <w:b w:val="0"/>
              <w:bCs/>
            </w:rPr>
          </w:pPr>
          <w:r>
            <w:rPr>
              <w:rFonts w:hint="eastAsia" w:ascii="仿宋" w:hAnsi="仿宋" w:eastAsia="仿宋" w:cs="仿宋"/>
              <w:b w:val="0"/>
              <w:bCs/>
              <w:szCs w:val="32"/>
              <w:vertAlign w:val="baseline"/>
              <w:lang w:val="en-US" w:eastAsia="zh-CN"/>
            </w:rPr>
            <w:t>（二）科技型中小企业</w:t>
          </w: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_Toc20378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szCs w:val="32"/>
              <w:vertAlign w:val="baseline"/>
              <w:lang w:val="en-US" w:eastAsia="zh-CN"/>
            </w:rPr>
            <w:t>奖补政策</w:t>
          </w:r>
          <w:r>
            <w:rPr>
              <w:rFonts w:hint="eastAsia" w:ascii="仿宋" w:hAnsi="仿宋" w:eastAsia="仿宋" w:cs="仿宋"/>
              <w:b w:val="0"/>
              <w:bCs/>
            </w:rPr>
            <w:tab/>
          </w:r>
          <w:r>
            <w:rPr>
              <w:rFonts w:hint="eastAsia" w:ascii="仿宋" w:hAnsi="仿宋" w:eastAsia="仿宋" w:cs="仿宋"/>
              <w:b w:val="0"/>
              <w:bCs/>
              <w:lang w:val="en-US" w:eastAsia="zh-CN"/>
            </w:rPr>
            <w:t>2</w:t>
          </w:r>
          <w:r>
            <w:rPr>
              <w:rFonts w:hint="eastAsia" w:ascii="仿宋" w:hAnsi="仿宋" w:eastAsia="仿宋" w:cs="仿宋"/>
              <w:b w:val="0"/>
              <w:bCs/>
              <w:kern w:val="2"/>
              <w:szCs w:val="32"/>
              <w:lang w:val="en-US" w:eastAsia="zh-CN" w:bidi="ar-SA"/>
            </w:rPr>
            <w:fldChar w:fldCharType="end"/>
          </w:r>
        </w:p>
        <w:p>
          <w:pPr>
            <w:pStyle w:val="15"/>
            <w:tabs>
              <w:tab w:val="right" w:leader="dot" w:pos="8306"/>
            </w:tabs>
            <w:rPr>
              <w:rFonts w:hint="default" w:ascii="黑体" w:hAnsi="黑体" w:eastAsia="黑体" w:cs="黑体"/>
              <w:b w:val="0"/>
              <w:bCs/>
              <w:kern w:val="2"/>
              <w:szCs w:val="32"/>
              <w:lang w:val="en-US" w:eastAsia="zh-CN" w:bidi="ar-SA"/>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_Toc21481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lang w:val="en-US" w:eastAsia="zh-CN"/>
            </w:rPr>
            <w:t>二、高新技术企业</w:t>
          </w:r>
          <w:r>
            <w:rPr>
              <w:rFonts w:hint="eastAsia" w:ascii="黑体" w:hAnsi="黑体" w:eastAsia="黑体" w:cs="黑体"/>
              <w:b w:val="0"/>
              <w:bCs/>
            </w:rPr>
            <w:tab/>
          </w:r>
          <w:r>
            <w:rPr>
              <w:rFonts w:hint="eastAsia" w:ascii="黑体" w:hAnsi="黑体" w:eastAsia="黑体" w:cs="黑体"/>
              <w:b w:val="0"/>
              <w:bCs/>
              <w:lang w:val="en-US" w:eastAsia="zh-CN"/>
            </w:rPr>
            <w:t>3</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 xml:space="preserve"> </w:t>
          </w:r>
        </w:p>
        <w:p>
          <w:pPr>
            <w:pStyle w:val="15"/>
            <w:tabs>
              <w:tab w:val="right" w:leader="dot" w:pos="8306"/>
            </w:tabs>
            <w:ind w:firstLine="200" w:firstLineChars="100"/>
            <w:rPr>
              <w:rFonts w:hint="eastAsia" w:ascii="仿宋" w:hAnsi="仿宋" w:eastAsia="仿宋" w:cs="仿宋"/>
              <w:b w:val="0"/>
              <w:bCs/>
              <w:kern w:val="2"/>
              <w:szCs w:val="32"/>
              <w:lang w:val="en-US" w:eastAsia="zh-CN" w:bidi="ar-SA"/>
            </w:rPr>
          </w:pPr>
          <w:r>
            <w:rPr>
              <w:rFonts w:hint="eastAsia" w:ascii="仿宋" w:hAnsi="仿宋" w:eastAsia="仿宋" w:cs="仿宋"/>
              <w:szCs w:val="32"/>
              <w:lang w:val="en-US" w:eastAsia="zh-CN"/>
            </w:rPr>
            <w:t>（一）</w:t>
          </w:r>
          <w:r>
            <w:rPr>
              <w:rFonts w:hint="eastAsia" w:ascii="仿宋" w:hAnsi="仿宋" w:eastAsia="仿宋" w:cs="仿宋"/>
              <w:b w:val="0"/>
              <w:bCs/>
              <w:szCs w:val="32"/>
              <w:lang w:val="en-US" w:eastAsia="zh-CN"/>
            </w:rPr>
            <w:t>高新技术企业</w:t>
          </w:r>
          <w:r>
            <w:rPr>
              <w:rFonts w:hint="eastAsia" w:ascii="仿宋" w:hAnsi="仿宋" w:eastAsia="仿宋" w:cs="仿宋"/>
              <w:szCs w:val="32"/>
              <w:lang w:val="en-US" w:eastAsia="zh-CN"/>
            </w:rPr>
            <w:t>申请标准</w:t>
          </w:r>
          <w:r>
            <w:rPr>
              <w:rFonts w:hint="eastAsia" w:ascii="仿宋" w:hAnsi="仿宋" w:eastAsia="仿宋" w:cs="仿宋"/>
            </w:rPr>
            <w:tab/>
          </w:r>
          <w:r>
            <w:rPr>
              <w:rFonts w:hint="eastAsia" w:ascii="仿宋" w:hAnsi="仿宋" w:eastAsia="仿宋" w:cs="仿宋"/>
              <w:lang w:val="en-US" w:eastAsia="zh-CN"/>
            </w:rPr>
            <w:t>3</w:t>
          </w:r>
        </w:p>
        <w:p>
          <w:pPr>
            <w:pStyle w:val="16"/>
            <w:tabs>
              <w:tab w:val="right" w:leader="dot" w:pos="8306"/>
            </w:tabs>
            <w:ind w:left="0" w:leftChars="0" w:firstLine="200" w:firstLineChars="100"/>
            <w:rPr>
              <w:rFonts w:hint="eastAsia" w:ascii="仿宋" w:hAnsi="仿宋" w:eastAsia="仿宋" w:cs="仿宋"/>
              <w:b w:val="0"/>
              <w:bCs/>
            </w:rPr>
          </w:pPr>
          <w:r>
            <w:rPr>
              <w:rFonts w:hint="eastAsia" w:ascii="仿宋" w:hAnsi="仿宋" w:eastAsia="仿宋" w:cs="仿宋"/>
              <w:b w:val="0"/>
              <w:bCs/>
              <w:szCs w:val="32"/>
              <w:lang w:val="en-US" w:eastAsia="zh-CN"/>
            </w:rPr>
            <w:t>（二）高新技术企业</w:t>
          </w: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_Toc19111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szCs w:val="32"/>
              <w:vertAlign w:val="baseline"/>
              <w:lang w:val="en-US" w:eastAsia="zh-CN"/>
            </w:rPr>
            <w:t>奖补政策</w:t>
          </w:r>
          <w:r>
            <w:rPr>
              <w:rFonts w:hint="eastAsia" w:ascii="仿宋" w:hAnsi="仿宋" w:eastAsia="仿宋" w:cs="仿宋"/>
              <w:b w:val="0"/>
              <w:bCs/>
            </w:rPr>
            <w:tab/>
          </w:r>
          <w:r>
            <w:rPr>
              <w:rFonts w:hint="eastAsia" w:ascii="仿宋" w:hAnsi="仿宋" w:eastAsia="仿宋" w:cs="仿宋"/>
              <w:b w:val="0"/>
              <w:bCs/>
              <w:lang w:val="en-US" w:eastAsia="zh-CN"/>
            </w:rPr>
            <w:t>4</w:t>
          </w:r>
          <w:r>
            <w:rPr>
              <w:rFonts w:hint="eastAsia" w:ascii="仿宋" w:hAnsi="仿宋" w:eastAsia="仿宋" w:cs="仿宋"/>
              <w:b w:val="0"/>
              <w:bCs/>
              <w:kern w:val="2"/>
              <w:szCs w:val="32"/>
              <w:lang w:val="en-US" w:eastAsia="zh-CN" w:bidi="ar-SA"/>
            </w:rPr>
            <w:fldChar w:fldCharType="end"/>
          </w:r>
        </w:p>
        <w:p>
          <w:pPr>
            <w:pStyle w:val="15"/>
            <w:tabs>
              <w:tab w:val="right" w:leader="dot" w:pos="8306"/>
            </w:tabs>
            <w:rPr>
              <w:rFonts w:hint="eastAsia" w:ascii="黑体" w:hAnsi="黑体" w:eastAsia="黑体" w:cs="黑体"/>
              <w:b w:val="0"/>
              <w:bCs/>
              <w:kern w:val="2"/>
              <w:szCs w:val="32"/>
              <w:lang w:val="en-US" w:eastAsia="zh-CN" w:bidi="ar-SA"/>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_Toc10860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vertAlign w:val="baseline"/>
              <w:lang w:val="en-US" w:eastAsia="zh-CN"/>
            </w:rPr>
            <w:t>三</w:t>
          </w:r>
          <w:r>
            <w:rPr>
              <w:rFonts w:hint="eastAsia" w:ascii="黑体" w:hAnsi="黑体" w:eastAsia="黑体" w:cs="黑体"/>
              <w:b w:val="0"/>
              <w:bCs/>
              <w:szCs w:val="32"/>
              <w:lang w:val="en-US" w:eastAsia="zh-CN"/>
            </w:rPr>
            <w:t>、</w:t>
          </w:r>
          <w:r>
            <w:rPr>
              <w:rFonts w:hint="eastAsia" w:ascii="黑体" w:hAnsi="黑体" w:eastAsia="黑体" w:cs="黑体"/>
              <w:b w:val="0"/>
              <w:bCs/>
              <w:szCs w:val="32"/>
              <w:vertAlign w:val="baseline"/>
              <w:lang w:val="en-US" w:eastAsia="zh-CN"/>
            </w:rPr>
            <w:t>河南省“瞪羚”企业（科技小巨人企业）</w:t>
          </w:r>
          <w:r>
            <w:rPr>
              <w:rFonts w:hint="eastAsia" w:ascii="黑体" w:hAnsi="黑体" w:eastAsia="黑体" w:cs="黑体"/>
              <w:b w:val="0"/>
              <w:bCs/>
            </w:rPr>
            <w:tab/>
          </w:r>
          <w:r>
            <w:rPr>
              <w:rFonts w:hint="eastAsia" w:ascii="黑体" w:hAnsi="黑体" w:eastAsia="黑体" w:cs="黑体"/>
              <w:b w:val="0"/>
              <w:bCs/>
              <w:lang w:val="en-US" w:eastAsia="zh-CN"/>
            </w:rPr>
            <w:t>5</w:t>
          </w:r>
          <w:r>
            <w:rPr>
              <w:rFonts w:hint="eastAsia" w:ascii="黑体" w:hAnsi="黑体" w:eastAsia="黑体" w:cs="黑体"/>
              <w:b w:val="0"/>
              <w:bCs/>
              <w:kern w:val="2"/>
              <w:szCs w:val="32"/>
              <w:lang w:val="en-US" w:eastAsia="zh-CN" w:bidi="ar-SA"/>
            </w:rPr>
            <w:fldChar w:fldCharType="end"/>
          </w:r>
        </w:p>
        <w:p>
          <w:pPr>
            <w:pStyle w:val="16"/>
            <w:tabs>
              <w:tab w:val="right" w:leader="dot" w:pos="8306"/>
            </w:tabs>
            <w:ind w:left="0" w:leftChars="0" w:firstLine="200" w:firstLineChars="100"/>
            <w:rPr>
              <w:rFonts w:hint="eastAsia" w:ascii="仿宋" w:hAnsi="仿宋" w:eastAsia="仿宋" w:cs="仿宋"/>
              <w:lang w:val="en-US" w:eastAsia="zh-CN"/>
            </w:rPr>
          </w:pPr>
          <w:r>
            <w:rPr>
              <w:rFonts w:hint="eastAsia" w:ascii="仿宋" w:hAnsi="仿宋" w:eastAsia="仿宋" w:cs="仿宋"/>
              <w:b w:val="0"/>
              <w:bCs/>
              <w:szCs w:val="32"/>
              <w:vertAlign w:val="baseline"/>
              <w:lang w:val="en-US" w:eastAsia="zh-CN"/>
            </w:rPr>
            <w:t>（一）河南省“瞪羚”企业（科技小巨人企业）</w:t>
          </w: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_Toc1631 </w:instrText>
          </w:r>
          <w:r>
            <w:rPr>
              <w:rFonts w:hint="eastAsia" w:ascii="仿宋" w:hAnsi="仿宋" w:eastAsia="仿宋" w:cs="仿宋"/>
              <w:kern w:val="2"/>
              <w:szCs w:val="32"/>
              <w:lang w:val="en-US" w:eastAsia="zh-CN" w:bidi="ar-SA"/>
            </w:rPr>
            <w:fldChar w:fldCharType="separate"/>
          </w:r>
          <w:r>
            <w:rPr>
              <w:rFonts w:hint="eastAsia" w:ascii="仿宋" w:hAnsi="仿宋" w:eastAsia="仿宋" w:cs="仿宋"/>
              <w:kern w:val="2"/>
              <w:szCs w:val="32"/>
              <w:lang w:val="en-US" w:eastAsia="zh-CN" w:bidi="ar-SA"/>
            </w:rPr>
            <w:t>申请标准</w:t>
          </w:r>
          <w:r>
            <w:rPr>
              <w:rFonts w:hint="eastAsia" w:ascii="仿宋" w:hAnsi="仿宋" w:eastAsia="仿宋" w:cs="仿宋"/>
            </w:rPr>
            <w:tab/>
          </w:r>
          <w:r>
            <w:rPr>
              <w:rFonts w:hint="eastAsia" w:ascii="仿宋" w:hAnsi="仿宋" w:eastAsia="仿宋" w:cs="仿宋"/>
              <w:lang w:val="en-US" w:eastAsia="zh-CN"/>
            </w:rPr>
            <w:t>5</w:t>
          </w:r>
        </w:p>
        <w:p>
          <w:pPr>
            <w:pStyle w:val="16"/>
            <w:tabs>
              <w:tab w:val="right" w:leader="dot" w:pos="8306"/>
            </w:tabs>
            <w:ind w:left="0" w:leftChars="0" w:firstLine="200" w:firstLineChars="1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kern w:val="2"/>
              <w:szCs w:val="32"/>
              <w:lang w:val="en-US" w:eastAsia="zh-CN" w:bidi="ar-SA"/>
            </w:rPr>
            <w:fldChar w:fldCharType="end"/>
          </w:r>
          <w:r>
            <w:rPr>
              <w:rFonts w:hint="eastAsia" w:ascii="仿宋" w:hAnsi="仿宋" w:eastAsia="仿宋" w:cs="仿宋"/>
              <w:kern w:val="2"/>
              <w:szCs w:val="32"/>
              <w:lang w:val="en-US" w:eastAsia="zh-CN" w:bidi="ar-SA"/>
            </w:rPr>
            <w:t>二）</w:t>
          </w:r>
          <w:r>
            <w:rPr>
              <w:rFonts w:hint="eastAsia" w:ascii="仿宋" w:hAnsi="仿宋" w:eastAsia="仿宋" w:cs="仿宋"/>
              <w:b w:val="0"/>
              <w:bCs/>
              <w:szCs w:val="32"/>
              <w:vertAlign w:val="baseline"/>
              <w:lang w:val="en-US" w:eastAsia="zh-CN"/>
            </w:rPr>
            <w:t>河南省“瞪羚”企业（科技小巨人企业）</w:t>
          </w: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_Toc1631 </w:instrText>
          </w:r>
          <w:r>
            <w:rPr>
              <w:rFonts w:hint="eastAsia" w:ascii="仿宋" w:hAnsi="仿宋" w:eastAsia="仿宋" w:cs="仿宋"/>
              <w:kern w:val="2"/>
              <w:szCs w:val="32"/>
              <w:lang w:val="en-US" w:eastAsia="zh-CN" w:bidi="ar-SA"/>
            </w:rPr>
            <w:fldChar w:fldCharType="separate"/>
          </w:r>
          <w:r>
            <w:rPr>
              <w:rFonts w:hint="eastAsia" w:ascii="仿宋" w:hAnsi="仿宋" w:eastAsia="仿宋" w:cs="仿宋"/>
              <w:bCs w:val="0"/>
              <w:szCs w:val="32"/>
              <w:vertAlign w:val="baseline"/>
              <w:lang w:val="en-US" w:eastAsia="zh-CN"/>
            </w:rPr>
            <w:t>奖补政策</w:t>
          </w:r>
          <w:r>
            <w:rPr>
              <w:rFonts w:hint="eastAsia" w:ascii="仿宋" w:hAnsi="仿宋" w:eastAsia="仿宋" w:cs="仿宋"/>
            </w:rPr>
            <w:tab/>
          </w:r>
          <w:r>
            <w:rPr>
              <w:rFonts w:hint="eastAsia" w:ascii="仿宋" w:hAnsi="仿宋" w:eastAsia="仿宋" w:cs="仿宋"/>
              <w:lang w:val="en-US" w:eastAsia="zh-CN"/>
            </w:rPr>
            <w:t>6</w:t>
          </w:r>
          <w:r>
            <w:rPr>
              <w:rFonts w:hint="eastAsia" w:ascii="仿宋" w:hAnsi="仿宋" w:eastAsia="仿宋" w:cs="仿宋"/>
              <w:kern w:val="2"/>
              <w:szCs w:val="32"/>
              <w:lang w:val="en-US" w:eastAsia="zh-CN" w:bidi="ar-SA"/>
            </w:rPr>
            <w:fldChar w:fldCharType="end"/>
          </w:r>
        </w:p>
        <w:p>
          <w:pPr>
            <w:pStyle w:val="15"/>
            <w:tabs>
              <w:tab w:val="right" w:leader="dot" w:pos="8306"/>
            </w:tabs>
            <w:rPr>
              <w:rFonts w:hint="eastAsia" w:ascii="黑体" w:hAnsi="黑体" w:eastAsia="黑体" w:cs="黑体"/>
              <w:b w:val="0"/>
              <w:bCs/>
              <w:kern w:val="2"/>
              <w:szCs w:val="32"/>
              <w:lang w:val="en-US" w:eastAsia="zh-CN" w:bidi="ar-SA"/>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_Toc24280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lang w:eastAsia="zh-CN"/>
            </w:rPr>
            <w:t>四、（科技部）国家高新区</w:t>
          </w:r>
          <w:r>
            <w:rPr>
              <w:rFonts w:hint="eastAsia" w:ascii="黑体" w:hAnsi="黑体" w:eastAsia="黑体" w:cs="黑体"/>
              <w:b w:val="0"/>
              <w:bCs/>
              <w:szCs w:val="32"/>
            </w:rPr>
            <w:t>“瞪羚”企业</w:t>
          </w:r>
          <w:r>
            <w:rPr>
              <w:rFonts w:hint="eastAsia" w:ascii="黑体" w:hAnsi="黑体" w:eastAsia="黑体" w:cs="黑体"/>
              <w:b w:val="0"/>
              <w:bCs/>
              <w:szCs w:val="32"/>
              <w:lang w:eastAsia="zh-CN"/>
            </w:rPr>
            <w:t>申请标准</w:t>
          </w:r>
          <w:r>
            <w:rPr>
              <w:rFonts w:hint="eastAsia" w:ascii="黑体" w:hAnsi="黑体" w:eastAsia="黑体" w:cs="黑体"/>
              <w:b w:val="0"/>
              <w:bCs/>
            </w:rPr>
            <w:tab/>
          </w:r>
          <w:r>
            <w:rPr>
              <w:rFonts w:hint="eastAsia" w:ascii="黑体" w:hAnsi="黑体" w:eastAsia="黑体" w:cs="黑体"/>
              <w:b w:val="0"/>
              <w:bCs/>
              <w:lang w:val="en-US" w:eastAsia="zh-CN"/>
            </w:rPr>
            <w:t>7</w:t>
          </w:r>
          <w:r>
            <w:rPr>
              <w:rFonts w:hint="eastAsia" w:ascii="黑体" w:hAnsi="黑体" w:eastAsia="黑体" w:cs="黑体"/>
              <w:b w:val="0"/>
              <w:bCs/>
              <w:kern w:val="2"/>
              <w:szCs w:val="32"/>
              <w:lang w:val="en-US" w:eastAsia="zh-CN" w:bidi="ar-SA"/>
            </w:rPr>
            <w:fldChar w:fldCharType="end"/>
          </w:r>
        </w:p>
        <w:p>
          <w:pPr>
            <w:pStyle w:val="15"/>
            <w:tabs>
              <w:tab w:val="right" w:leader="dot" w:pos="8306"/>
            </w:tabs>
            <w:ind w:firstLine="200" w:firstLineChars="100"/>
            <w:rPr>
              <w:rFonts w:hint="eastAsia"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_Toc24280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（一）</w:t>
          </w:r>
          <w:r>
            <w:rPr>
              <w:rFonts w:hint="eastAsia" w:ascii="仿宋" w:hAnsi="仿宋" w:eastAsia="仿宋" w:cs="仿宋"/>
              <w:b w:val="0"/>
              <w:bCs/>
              <w:szCs w:val="32"/>
              <w:lang w:eastAsia="zh-CN"/>
            </w:rPr>
            <w:t>（科技部）国家高新区</w:t>
          </w:r>
          <w:r>
            <w:rPr>
              <w:rFonts w:hint="eastAsia" w:ascii="仿宋" w:hAnsi="仿宋" w:eastAsia="仿宋" w:cs="仿宋"/>
              <w:b w:val="0"/>
              <w:bCs/>
              <w:szCs w:val="32"/>
            </w:rPr>
            <w:t>“瞪羚”企业</w:t>
          </w:r>
          <w:r>
            <w:rPr>
              <w:rFonts w:hint="eastAsia" w:ascii="仿宋" w:hAnsi="仿宋" w:eastAsia="仿宋" w:cs="仿宋"/>
              <w:b w:val="0"/>
              <w:bCs/>
              <w:szCs w:val="32"/>
              <w:lang w:eastAsia="zh-CN"/>
            </w:rPr>
            <w:t>申请标准</w:t>
          </w:r>
          <w:r>
            <w:rPr>
              <w:rFonts w:hint="eastAsia" w:ascii="仿宋" w:hAnsi="仿宋" w:eastAsia="仿宋" w:cs="仿宋"/>
              <w:b w:val="0"/>
              <w:bCs/>
            </w:rPr>
            <w:tab/>
          </w:r>
          <w:r>
            <w:rPr>
              <w:rFonts w:hint="eastAsia" w:ascii="仿宋" w:hAnsi="仿宋" w:eastAsia="仿宋" w:cs="仿宋"/>
              <w:b w:val="0"/>
              <w:bCs/>
              <w:lang w:val="en-US" w:eastAsia="zh-CN"/>
            </w:rPr>
            <w:t>7</w:t>
          </w:r>
          <w:r>
            <w:rPr>
              <w:rFonts w:hint="eastAsia" w:ascii="仿宋" w:hAnsi="仿宋" w:eastAsia="仿宋" w:cs="仿宋"/>
              <w:b w:val="0"/>
              <w:bCs/>
              <w:kern w:val="2"/>
              <w:szCs w:val="32"/>
              <w:lang w:val="en-US" w:eastAsia="zh-CN" w:bidi="ar-SA"/>
            </w:rPr>
            <w:fldChar w:fldCharType="end"/>
          </w:r>
        </w:p>
        <w:p>
          <w:pPr>
            <w:pStyle w:val="15"/>
            <w:tabs>
              <w:tab w:val="right" w:leader="dot" w:pos="8306"/>
            </w:tabs>
            <w:rPr>
              <w:rFonts w:hint="eastAsia" w:ascii="黑体" w:hAnsi="黑体" w:eastAsia="黑体" w:cs="黑体"/>
              <w:b w:val="0"/>
              <w:bCs/>
              <w:kern w:val="2"/>
              <w:szCs w:val="32"/>
              <w:lang w:val="en-US" w:eastAsia="zh-CN" w:bidi="ar-SA"/>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_Toc22160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vertAlign w:val="baseline"/>
              <w:lang w:val="en-US" w:eastAsia="zh-CN"/>
            </w:rPr>
            <w:t>五、河南省创新龙头企业</w:t>
          </w:r>
          <w:r>
            <w:rPr>
              <w:rFonts w:hint="eastAsia" w:ascii="黑体" w:hAnsi="黑体" w:eastAsia="黑体" w:cs="黑体"/>
              <w:b w:val="0"/>
              <w:bCs/>
            </w:rPr>
            <w:tab/>
          </w:r>
          <w:r>
            <w:rPr>
              <w:rFonts w:hint="eastAsia" w:ascii="黑体" w:hAnsi="黑体" w:eastAsia="黑体" w:cs="黑体"/>
              <w:b w:val="0"/>
              <w:bCs/>
              <w:lang w:val="en-US" w:eastAsia="zh-CN"/>
            </w:rPr>
            <w:t>8</w:t>
          </w:r>
          <w:r>
            <w:rPr>
              <w:rFonts w:hint="eastAsia" w:ascii="黑体" w:hAnsi="黑体" w:eastAsia="黑体" w:cs="黑体"/>
              <w:b w:val="0"/>
              <w:bCs/>
              <w:kern w:val="2"/>
              <w:szCs w:val="32"/>
              <w:lang w:val="en-US" w:eastAsia="zh-CN" w:bidi="ar-SA"/>
            </w:rPr>
            <w:fldChar w:fldCharType="end"/>
          </w:r>
        </w:p>
        <w:p>
          <w:pPr>
            <w:pStyle w:val="15"/>
            <w:tabs>
              <w:tab w:val="right" w:leader="dot" w:pos="8306"/>
            </w:tabs>
            <w:rPr>
              <w:rFonts w:hint="eastAsia"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_Toc22160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 xml:space="preserve">  （一）</w:t>
          </w:r>
          <w:r>
            <w:rPr>
              <w:rFonts w:hint="eastAsia" w:ascii="仿宋" w:hAnsi="仿宋" w:eastAsia="仿宋" w:cs="仿宋"/>
              <w:b w:val="0"/>
              <w:bCs/>
              <w:szCs w:val="32"/>
              <w:vertAlign w:val="baseline"/>
              <w:lang w:val="en-US" w:eastAsia="zh-CN"/>
            </w:rPr>
            <w:t>河南省创新龙头企业申请标准</w:t>
          </w:r>
          <w:r>
            <w:rPr>
              <w:rFonts w:hint="eastAsia" w:ascii="仿宋" w:hAnsi="仿宋" w:eastAsia="仿宋" w:cs="仿宋"/>
              <w:b w:val="0"/>
              <w:bCs/>
            </w:rPr>
            <w:tab/>
          </w:r>
          <w:r>
            <w:rPr>
              <w:rFonts w:hint="eastAsia" w:ascii="仿宋" w:hAnsi="仿宋" w:eastAsia="仿宋" w:cs="仿宋"/>
              <w:b w:val="0"/>
              <w:bCs/>
              <w:lang w:val="en-US" w:eastAsia="zh-CN"/>
            </w:rPr>
            <w:t>8</w:t>
          </w:r>
          <w:r>
            <w:rPr>
              <w:rFonts w:hint="eastAsia" w:ascii="仿宋" w:hAnsi="仿宋" w:eastAsia="仿宋" w:cs="仿宋"/>
              <w:b w:val="0"/>
              <w:bCs/>
              <w:kern w:val="2"/>
              <w:szCs w:val="32"/>
              <w:lang w:val="en-US" w:eastAsia="zh-CN" w:bidi="ar-SA"/>
            </w:rPr>
            <w:fldChar w:fldCharType="end"/>
          </w:r>
        </w:p>
        <w:p>
          <w:pPr>
            <w:pStyle w:val="16"/>
            <w:tabs>
              <w:tab w:val="right" w:leader="dot" w:pos="8306"/>
            </w:tabs>
            <w:ind w:left="0" w:leftChars="0" w:firstLine="200" w:firstLineChars="100"/>
            <w:rPr>
              <w:rFonts w:hint="default" w:ascii="仿宋" w:hAnsi="仿宋" w:eastAsia="仿宋" w:cs="仿宋"/>
              <w:lang w:val="en-US"/>
            </w:rPr>
          </w:pPr>
          <w:r>
            <w:rPr>
              <w:rFonts w:hint="eastAsia" w:ascii="仿宋" w:hAnsi="仿宋" w:eastAsia="仿宋" w:cs="仿宋"/>
              <w:b w:val="0"/>
              <w:bCs/>
              <w:szCs w:val="32"/>
              <w:vertAlign w:val="baseline"/>
              <w:lang w:val="en-US" w:eastAsia="zh-CN"/>
            </w:rPr>
            <w:t>（二）河南省创新龙头企业</w:t>
          </w: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_Toc20826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szCs w:val="32"/>
              <w:vertAlign w:val="baseline"/>
              <w:lang w:val="en-US" w:eastAsia="zh-CN"/>
            </w:rPr>
            <w:t>奖补政策</w:t>
          </w:r>
          <w:r>
            <w:rPr>
              <w:rFonts w:hint="eastAsia" w:ascii="仿宋" w:hAnsi="仿宋" w:eastAsia="仿宋" w:cs="仿宋"/>
              <w:b w:val="0"/>
              <w:bCs/>
            </w:rPr>
            <w:tab/>
          </w:r>
          <w:r>
            <w:rPr>
              <w:rFonts w:hint="eastAsia" w:ascii="仿宋" w:hAnsi="仿宋" w:eastAsia="仿宋" w:cs="仿宋"/>
              <w:b w:val="0"/>
              <w:bCs/>
              <w:lang w:val="en-US" w:eastAsia="zh-CN"/>
            </w:rPr>
            <w:t>9</w:t>
          </w:r>
          <w:r>
            <w:rPr>
              <w:rFonts w:hint="eastAsia" w:ascii="仿宋" w:hAnsi="仿宋" w:eastAsia="仿宋" w:cs="仿宋"/>
              <w:b w:val="0"/>
              <w:bCs/>
              <w:kern w:val="2"/>
              <w:szCs w:val="32"/>
              <w:lang w:val="en-US" w:eastAsia="zh-CN" w:bidi="ar-SA"/>
            </w:rPr>
            <w:fldChar w:fldCharType="end"/>
          </w:r>
        </w:p>
        <w:p>
          <w:pPr>
            <w:pStyle w:val="15"/>
            <w:tabs>
              <w:tab w:val="right" w:leader="dot" w:pos="8306"/>
            </w:tabs>
            <w:rPr>
              <w:rFonts w:hint="default" w:ascii="黑体" w:hAnsi="黑体" w:eastAsia="黑体" w:cs="黑体"/>
              <w:b w:val="0"/>
              <w:bCs w:val="0"/>
              <w:kern w:val="2"/>
              <w:szCs w:val="32"/>
              <w:lang w:val="en-US" w:eastAsia="zh-CN" w:bidi="ar-SA"/>
            </w:rPr>
          </w:pPr>
          <w:r>
            <w:rPr>
              <w:rFonts w:hint="eastAsia" w:ascii="黑体" w:hAnsi="黑体" w:eastAsia="黑体" w:cs="黑体"/>
              <w:b w:val="0"/>
              <w:bCs w:val="0"/>
              <w:kern w:val="2"/>
              <w:szCs w:val="32"/>
              <w:lang w:val="en-US" w:eastAsia="zh-CN" w:bidi="ar-SA"/>
            </w:rPr>
            <w:fldChar w:fldCharType="begin"/>
          </w:r>
          <w:r>
            <w:rPr>
              <w:rFonts w:hint="eastAsia" w:ascii="黑体" w:hAnsi="黑体" w:eastAsia="黑体" w:cs="黑体"/>
              <w:b w:val="0"/>
              <w:bCs w:val="0"/>
              <w:kern w:val="2"/>
              <w:szCs w:val="32"/>
              <w:lang w:val="en-US" w:eastAsia="zh-CN" w:bidi="ar-SA"/>
            </w:rPr>
            <w:instrText xml:space="preserve"> HYPERLINK \l _Toc15179 </w:instrText>
          </w:r>
          <w:r>
            <w:rPr>
              <w:rFonts w:hint="eastAsia" w:ascii="黑体" w:hAnsi="黑体" w:eastAsia="黑体" w:cs="黑体"/>
              <w:b w:val="0"/>
              <w:bCs w:val="0"/>
              <w:kern w:val="2"/>
              <w:szCs w:val="32"/>
              <w:lang w:val="en-US" w:eastAsia="zh-CN" w:bidi="ar-SA"/>
            </w:rPr>
            <w:fldChar w:fldCharType="separate"/>
          </w:r>
          <w:r>
            <w:rPr>
              <w:rFonts w:hint="eastAsia" w:ascii="黑体" w:hAnsi="黑体" w:eastAsia="黑体" w:cs="黑体"/>
              <w:b w:val="0"/>
              <w:bCs w:val="0"/>
              <w:szCs w:val="32"/>
              <w:lang w:eastAsia="zh-CN"/>
            </w:rPr>
            <w:t>六、安阳市创新龙头企业</w:t>
          </w:r>
          <w:r>
            <w:rPr>
              <w:rFonts w:hint="eastAsia" w:ascii="黑体" w:hAnsi="黑体" w:eastAsia="黑体" w:cs="黑体"/>
              <w:b w:val="0"/>
              <w:bCs w:val="0"/>
            </w:rPr>
            <w:tab/>
          </w:r>
          <w:r>
            <w:rPr>
              <w:rFonts w:hint="eastAsia" w:ascii="黑体" w:hAnsi="黑体" w:eastAsia="黑体" w:cs="黑体"/>
              <w:b w:val="0"/>
              <w:bCs w:val="0"/>
              <w:lang w:val="en-US" w:eastAsia="zh-CN"/>
            </w:rPr>
            <w:t>1</w:t>
          </w:r>
          <w:r>
            <w:rPr>
              <w:rFonts w:hint="eastAsia" w:ascii="黑体" w:hAnsi="黑体" w:eastAsia="黑体" w:cs="黑体"/>
              <w:b w:val="0"/>
              <w:bCs w:val="0"/>
              <w:kern w:val="2"/>
              <w:szCs w:val="32"/>
              <w:lang w:val="en-US" w:eastAsia="zh-CN" w:bidi="ar-SA"/>
            </w:rPr>
            <w:fldChar w:fldCharType="end"/>
          </w:r>
          <w:r>
            <w:rPr>
              <w:rFonts w:hint="eastAsia" w:ascii="黑体" w:hAnsi="黑体" w:eastAsia="黑体" w:cs="黑体"/>
              <w:b w:val="0"/>
              <w:bCs w:val="0"/>
              <w:kern w:val="2"/>
              <w:szCs w:val="32"/>
              <w:lang w:val="en-US" w:eastAsia="zh-CN" w:bidi="ar-SA"/>
            </w:rPr>
            <w:t>0</w:t>
          </w:r>
        </w:p>
        <w:p>
          <w:pPr>
            <w:pStyle w:val="15"/>
            <w:tabs>
              <w:tab w:val="right" w:leader="dot" w:pos="8306"/>
            </w:tabs>
            <w:ind w:firstLine="200" w:firstLineChars="100"/>
            <w:rPr>
              <w:rFonts w:hint="default" w:ascii="仿宋" w:hAnsi="仿宋" w:eastAsia="仿宋" w:cs="仿宋"/>
              <w:b w:val="0"/>
              <w:bCs/>
              <w:lang w:val="en-US"/>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_Toc15179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（一）</w:t>
          </w:r>
          <w:r>
            <w:rPr>
              <w:rFonts w:hint="eastAsia" w:ascii="仿宋" w:hAnsi="仿宋" w:eastAsia="仿宋" w:cs="仿宋"/>
              <w:b w:val="0"/>
              <w:bCs/>
              <w:szCs w:val="32"/>
              <w:lang w:eastAsia="zh-CN"/>
            </w:rPr>
            <w:t>安阳市创新龙头企业申请标准</w:t>
          </w:r>
          <w:r>
            <w:rPr>
              <w:rFonts w:hint="eastAsia" w:ascii="仿宋" w:hAnsi="仿宋" w:eastAsia="仿宋" w:cs="仿宋"/>
              <w:b w:val="0"/>
              <w:bCs/>
            </w:rPr>
            <w:tab/>
          </w:r>
          <w:r>
            <w:rPr>
              <w:rFonts w:hint="eastAsia" w:ascii="仿宋" w:hAnsi="仿宋" w:eastAsia="仿宋" w:cs="仿宋"/>
              <w:b w:val="0"/>
              <w:bCs/>
              <w:lang w:val="en-US" w:eastAsia="zh-CN"/>
            </w:rPr>
            <w:t>1</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0</w:t>
          </w:r>
        </w:p>
        <w:p>
          <w:pPr>
            <w:pStyle w:val="15"/>
            <w:tabs>
              <w:tab w:val="right" w:leader="dot" w:pos="8306"/>
            </w:tabs>
            <w:rPr>
              <w:rFonts w:hint="default" w:ascii="黑体" w:hAnsi="黑体" w:eastAsia="黑体" w:cs="黑体"/>
              <w:b w:val="0"/>
              <w:bCs w:val="0"/>
              <w:kern w:val="2"/>
              <w:szCs w:val="32"/>
              <w:lang w:val="en-US" w:eastAsia="zh-CN" w:bidi="ar-SA"/>
            </w:rPr>
          </w:pPr>
          <w:r>
            <w:rPr>
              <w:rFonts w:hint="default" w:ascii="黑体" w:hAnsi="黑体" w:eastAsia="黑体" w:cs="黑体"/>
              <w:b w:val="0"/>
              <w:bCs w:val="0"/>
              <w:kern w:val="2"/>
              <w:szCs w:val="32"/>
              <w:lang w:val="en-US" w:eastAsia="zh-CN" w:bidi="ar-SA"/>
            </w:rPr>
            <w:fldChar w:fldCharType="begin"/>
          </w:r>
          <w:r>
            <w:rPr>
              <w:rFonts w:hint="default" w:ascii="黑体" w:hAnsi="黑体" w:eastAsia="黑体" w:cs="黑体"/>
              <w:b w:val="0"/>
              <w:bCs w:val="0"/>
              <w:kern w:val="2"/>
              <w:szCs w:val="32"/>
              <w:lang w:val="en-US" w:eastAsia="zh-CN" w:bidi="ar-SA"/>
            </w:rPr>
            <w:instrText xml:space="preserve"> HYPERLINK \l _Toc20105 </w:instrText>
          </w:r>
          <w:r>
            <w:rPr>
              <w:rFonts w:hint="default" w:ascii="黑体" w:hAnsi="黑体" w:eastAsia="黑体" w:cs="黑体"/>
              <w:b w:val="0"/>
              <w:bCs w:val="0"/>
              <w:kern w:val="2"/>
              <w:szCs w:val="32"/>
              <w:lang w:val="en-US" w:eastAsia="zh-CN" w:bidi="ar-SA"/>
            </w:rPr>
            <w:fldChar w:fldCharType="separate"/>
          </w:r>
          <w:r>
            <w:rPr>
              <w:rFonts w:hint="eastAsia" w:ascii="黑体" w:hAnsi="黑体" w:eastAsia="黑体" w:cs="黑体"/>
              <w:b w:val="0"/>
              <w:bCs w:val="0"/>
              <w:szCs w:val="32"/>
              <w:lang w:eastAsia="zh-CN"/>
            </w:rPr>
            <w:t>七、河南省“科技雏鹰”企业申请标准</w:t>
          </w:r>
          <w:r>
            <w:rPr>
              <w:b w:val="0"/>
              <w:bCs w:val="0"/>
            </w:rPr>
            <w:tab/>
          </w:r>
          <w:r>
            <w:rPr>
              <w:rFonts w:hint="default" w:ascii="黑体" w:hAnsi="黑体" w:eastAsia="黑体" w:cs="黑体"/>
              <w:b w:val="0"/>
              <w:bCs w:val="0"/>
              <w:kern w:val="2"/>
              <w:szCs w:val="32"/>
              <w:lang w:val="en-US" w:eastAsia="zh-CN" w:bidi="ar-SA"/>
            </w:rPr>
            <w:fldChar w:fldCharType="end"/>
          </w:r>
          <w:r>
            <w:rPr>
              <w:rFonts w:hint="eastAsia" w:ascii="黑体" w:hAnsi="黑体" w:eastAsia="黑体" w:cs="黑体"/>
              <w:b w:val="0"/>
              <w:bCs w:val="0"/>
              <w:kern w:val="2"/>
              <w:szCs w:val="32"/>
              <w:lang w:val="en-US" w:eastAsia="zh-CN" w:bidi="ar-SA"/>
            </w:rPr>
            <w:t>11</w:t>
          </w:r>
        </w:p>
        <w:p>
          <w:pPr>
            <w:pStyle w:val="15"/>
            <w:tabs>
              <w:tab w:val="right" w:leader="dot" w:pos="8306"/>
            </w:tabs>
            <w:ind w:firstLine="200" w:firstLineChars="100"/>
            <w:rPr>
              <w:rFonts w:hint="default" w:ascii="仿宋" w:hAnsi="仿宋" w:eastAsia="仿宋" w:cs="仿宋"/>
              <w:b w:val="0"/>
              <w:bCs/>
              <w:lang w:val="en-US"/>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_Toc20105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（一）</w:t>
          </w:r>
          <w:r>
            <w:rPr>
              <w:rFonts w:hint="eastAsia" w:ascii="仿宋" w:hAnsi="仿宋" w:eastAsia="仿宋" w:cs="仿宋"/>
              <w:b w:val="0"/>
              <w:bCs/>
              <w:szCs w:val="32"/>
              <w:lang w:eastAsia="zh-CN"/>
            </w:rPr>
            <w:t>河南省“科技雏鹰”企业申请标准</w:t>
          </w:r>
          <w:r>
            <w:rPr>
              <w:rFonts w:hint="eastAsia" w:ascii="仿宋" w:hAnsi="仿宋" w:eastAsia="仿宋" w:cs="仿宋"/>
              <w:b w:val="0"/>
              <w:bCs/>
            </w:rPr>
            <w:tab/>
          </w:r>
          <w:r>
            <w:rPr>
              <w:rFonts w:hint="eastAsia" w:ascii="仿宋" w:hAnsi="仿宋" w:eastAsia="仿宋" w:cs="仿宋"/>
              <w:b w:val="0"/>
              <w:bCs/>
              <w:lang w:val="en-US" w:eastAsia="zh-CN"/>
            </w:rPr>
            <w:t>1</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1</w:t>
          </w:r>
        </w:p>
        <w:p>
          <w:pPr>
            <w:pStyle w:val="15"/>
            <w:tabs>
              <w:tab w:val="right" w:leader="dot" w:pos="8306"/>
            </w:tabs>
            <w:rPr>
              <w:rFonts w:hint="default" w:ascii="黑体" w:hAnsi="黑体" w:eastAsia="黑体" w:cs="黑体"/>
              <w:b w:val="0"/>
              <w:bCs w:val="0"/>
              <w:kern w:val="2"/>
              <w:szCs w:val="32"/>
              <w:lang w:val="en-US" w:eastAsia="zh-CN" w:bidi="ar-SA"/>
            </w:rPr>
          </w:pPr>
          <w:r>
            <w:rPr>
              <w:rFonts w:hint="eastAsia" w:ascii="黑体" w:hAnsi="黑体" w:eastAsia="黑体" w:cs="黑体"/>
              <w:b w:val="0"/>
              <w:bCs w:val="0"/>
              <w:kern w:val="2"/>
              <w:szCs w:val="32"/>
              <w:lang w:val="en-US" w:eastAsia="zh-CN" w:bidi="ar-SA"/>
            </w:rPr>
            <w:fldChar w:fldCharType="begin"/>
          </w:r>
          <w:r>
            <w:rPr>
              <w:rFonts w:hint="eastAsia" w:ascii="黑体" w:hAnsi="黑体" w:eastAsia="黑体" w:cs="黑体"/>
              <w:b w:val="0"/>
              <w:bCs w:val="0"/>
              <w:kern w:val="2"/>
              <w:szCs w:val="32"/>
              <w:lang w:val="en-US" w:eastAsia="zh-CN" w:bidi="ar-SA"/>
            </w:rPr>
            <w:instrText xml:space="preserve"> HYPERLINK \l _Toc3599 </w:instrText>
          </w:r>
          <w:r>
            <w:rPr>
              <w:rFonts w:hint="eastAsia" w:ascii="黑体" w:hAnsi="黑体" w:eastAsia="黑体" w:cs="黑体"/>
              <w:b w:val="0"/>
              <w:bCs w:val="0"/>
              <w:kern w:val="2"/>
              <w:szCs w:val="32"/>
              <w:lang w:val="en-US" w:eastAsia="zh-CN" w:bidi="ar-SA"/>
            </w:rPr>
            <w:fldChar w:fldCharType="separate"/>
          </w:r>
          <w:r>
            <w:rPr>
              <w:rFonts w:hint="eastAsia" w:ascii="黑体" w:hAnsi="黑体" w:eastAsia="黑体" w:cs="黑体"/>
              <w:b w:val="0"/>
              <w:bCs w:val="0"/>
              <w:szCs w:val="32"/>
              <w:lang w:eastAsia="zh-CN"/>
            </w:rPr>
            <w:t>八、河南省工程技术研究中心</w:t>
          </w:r>
          <w:r>
            <w:rPr>
              <w:rFonts w:hint="eastAsia" w:ascii="黑体" w:hAnsi="黑体" w:eastAsia="黑体" w:cs="黑体"/>
              <w:b w:val="0"/>
              <w:bCs w:val="0"/>
            </w:rPr>
            <w:tab/>
          </w:r>
          <w:r>
            <w:rPr>
              <w:rFonts w:hint="eastAsia" w:ascii="黑体" w:hAnsi="黑体" w:eastAsia="黑体" w:cs="黑体"/>
              <w:b w:val="0"/>
              <w:bCs w:val="0"/>
              <w:lang w:val="en-US" w:eastAsia="zh-CN"/>
            </w:rPr>
            <w:t>1</w:t>
          </w:r>
          <w:r>
            <w:rPr>
              <w:rFonts w:hint="eastAsia" w:ascii="黑体" w:hAnsi="黑体" w:eastAsia="黑体" w:cs="黑体"/>
              <w:b w:val="0"/>
              <w:bCs w:val="0"/>
              <w:kern w:val="2"/>
              <w:szCs w:val="32"/>
              <w:lang w:val="en-US" w:eastAsia="zh-CN" w:bidi="ar-SA"/>
            </w:rPr>
            <w:fldChar w:fldCharType="end"/>
          </w:r>
          <w:r>
            <w:rPr>
              <w:rFonts w:hint="eastAsia" w:ascii="黑体" w:hAnsi="黑体" w:eastAsia="黑体" w:cs="黑体"/>
              <w:b w:val="0"/>
              <w:bCs w:val="0"/>
              <w:kern w:val="2"/>
              <w:szCs w:val="32"/>
              <w:lang w:val="en-US" w:eastAsia="zh-CN" w:bidi="ar-SA"/>
            </w:rPr>
            <w:t>2</w:t>
          </w:r>
        </w:p>
        <w:p>
          <w:pPr>
            <w:pStyle w:val="15"/>
            <w:tabs>
              <w:tab w:val="right" w:leader="dot" w:pos="8306"/>
            </w:tabs>
            <w:ind w:firstLine="200" w:firstLineChars="100"/>
            <w:rPr>
              <w:rFonts w:hint="default"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_Toc3599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（一）</w:t>
          </w:r>
          <w:r>
            <w:rPr>
              <w:rFonts w:hint="eastAsia" w:ascii="仿宋" w:hAnsi="仿宋" w:eastAsia="仿宋" w:cs="仿宋"/>
              <w:b w:val="0"/>
              <w:bCs/>
              <w:szCs w:val="32"/>
              <w:lang w:eastAsia="zh-CN"/>
            </w:rPr>
            <w:t>河南省工程技术研究中心申请标准</w:t>
          </w:r>
          <w:r>
            <w:rPr>
              <w:rFonts w:hint="eastAsia" w:ascii="仿宋" w:hAnsi="仿宋" w:eastAsia="仿宋" w:cs="仿宋"/>
              <w:b w:val="0"/>
              <w:bCs/>
            </w:rPr>
            <w:tab/>
          </w:r>
          <w:r>
            <w:rPr>
              <w:rFonts w:hint="eastAsia" w:ascii="仿宋" w:hAnsi="仿宋" w:eastAsia="仿宋" w:cs="仿宋"/>
              <w:b w:val="0"/>
              <w:bCs/>
              <w:lang w:val="en-US" w:eastAsia="zh-CN"/>
            </w:rPr>
            <w:t>1</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2</w:t>
          </w:r>
        </w:p>
        <w:p>
          <w:pPr>
            <w:pStyle w:val="15"/>
            <w:tabs>
              <w:tab w:val="right" w:leader="dot" w:pos="8306"/>
            </w:tabs>
            <w:rPr>
              <w:rFonts w:hint="eastAsia"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_Toc3599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 xml:space="preserve">  （二）</w:t>
          </w:r>
          <w:r>
            <w:rPr>
              <w:rFonts w:hint="eastAsia" w:ascii="仿宋" w:hAnsi="仿宋" w:eastAsia="仿宋" w:cs="仿宋"/>
              <w:b w:val="0"/>
              <w:bCs/>
              <w:szCs w:val="32"/>
              <w:lang w:eastAsia="zh-CN"/>
            </w:rPr>
            <w:t>河南省工程技术研究中心奖补政策</w:t>
          </w:r>
          <w:r>
            <w:rPr>
              <w:rFonts w:hint="eastAsia" w:ascii="仿宋" w:hAnsi="仿宋" w:eastAsia="仿宋" w:cs="仿宋"/>
              <w:b w:val="0"/>
              <w:bCs/>
            </w:rPr>
            <w:tab/>
          </w:r>
          <w:r>
            <w:rPr>
              <w:rFonts w:hint="eastAsia" w:ascii="仿宋" w:hAnsi="仿宋" w:eastAsia="仿宋" w:cs="仿宋"/>
              <w:b w:val="0"/>
              <w:bCs/>
            </w:rPr>
            <w:fldChar w:fldCharType="begin"/>
          </w:r>
          <w:r>
            <w:rPr>
              <w:rFonts w:hint="eastAsia" w:ascii="仿宋" w:hAnsi="仿宋" w:eastAsia="仿宋" w:cs="仿宋"/>
              <w:b w:val="0"/>
              <w:bCs/>
            </w:rPr>
            <w:instrText xml:space="preserve"> PAGEREF _Toc3599 \h </w:instrText>
          </w:r>
          <w:r>
            <w:rPr>
              <w:rFonts w:hint="eastAsia" w:ascii="仿宋" w:hAnsi="仿宋" w:eastAsia="仿宋" w:cs="仿宋"/>
              <w:b w:val="0"/>
              <w:bCs/>
            </w:rPr>
            <w:fldChar w:fldCharType="separate"/>
          </w:r>
          <w:r>
            <w:rPr>
              <w:rFonts w:hint="eastAsia" w:ascii="仿宋" w:hAnsi="仿宋" w:eastAsia="仿宋" w:cs="仿宋"/>
              <w:b w:val="0"/>
              <w:bCs/>
            </w:rPr>
            <w:t>1</w:t>
          </w:r>
          <w:r>
            <w:rPr>
              <w:rFonts w:hint="eastAsia" w:ascii="仿宋" w:hAnsi="仿宋" w:eastAsia="仿宋" w:cs="仿宋"/>
              <w:b w:val="0"/>
              <w:bCs/>
              <w:lang w:val="en-US" w:eastAsia="zh-CN"/>
            </w:rPr>
            <w:t>3</w:t>
          </w:r>
          <w:r>
            <w:rPr>
              <w:rFonts w:hint="eastAsia" w:ascii="仿宋" w:hAnsi="仿宋" w:eastAsia="仿宋" w:cs="仿宋"/>
              <w:b w:val="0"/>
              <w:bCs/>
            </w:rPr>
            <w:fldChar w:fldCharType="end"/>
          </w:r>
          <w:r>
            <w:rPr>
              <w:rFonts w:hint="eastAsia" w:ascii="仿宋" w:hAnsi="仿宋" w:eastAsia="仿宋" w:cs="仿宋"/>
              <w:b w:val="0"/>
              <w:bCs/>
              <w:kern w:val="2"/>
              <w:szCs w:val="32"/>
              <w:lang w:val="en-US" w:eastAsia="zh-CN" w:bidi="ar-SA"/>
            </w:rPr>
            <w:fldChar w:fldCharType="end"/>
          </w:r>
        </w:p>
        <w:p>
          <w:pPr>
            <w:pStyle w:val="15"/>
            <w:tabs>
              <w:tab w:val="right" w:leader="dot" w:pos="8306"/>
            </w:tabs>
            <w:rPr>
              <w:rFonts w:hint="default" w:ascii="黑体" w:hAnsi="黑体" w:eastAsia="黑体" w:cs="黑体"/>
              <w:b w:val="0"/>
              <w:bCs/>
              <w:lang w:val="en-US"/>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_Toc24175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lang w:eastAsia="zh-CN"/>
            </w:rPr>
            <w:t>九、安阳市工程技术研究中心</w:t>
          </w:r>
          <w:r>
            <w:rPr>
              <w:rFonts w:hint="eastAsia" w:ascii="黑体" w:hAnsi="黑体" w:eastAsia="黑体" w:cs="黑体"/>
              <w:b w:val="0"/>
              <w:bCs/>
            </w:rPr>
            <w:tab/>
          </w:r>
          <w:r>
            <w:rPr>
              <w:rFonts w:hint="eastAsia" w:ascii="黑体" w:hAnsi="黑体" w:eastAsia="黑体" w:cs="黑体"/>
              <w:b w:val="0"/>
              <w:bCs/>
              <w:lang w:val="en-US" w:eastAsia="zh-CN"/>
            </w:rPr>
            <w:t>1</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4</w:t>
          </w:r>
        </w:p>
        <w:p>
          <w:pPr>
            <w:pStyle w:val="15"/>
            <w:tabs>
              <w:tab w:val="right" w:leader="dot" w:pos="8306"/>
            </w:tabs>
            <w:ind w:firstLine="200" w:firstLineChars="100"/>
            <w:rPr>
              <w:rFonts w:hint="default" w:ascii="仿宋" w:hAnsi="仿宋" w:eastAsia="仿宋" w:cs="仿宋"/>
              <w:b w:val="0"/>
              <w:bCs/>
              <w:lang w:val="en-US"/>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_Toc24175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（一）</w:t>
          </w:r>
          <w:r>
            <w:rPr>
              <w:rFonts w:hint="eastAsia" w:ascii="仿宋" w:hAnsi="仿宋" w:eastAsia="仿宋" w:cs="仿宋"/>
              <w:b w:val="0"/>
              <w:bCs/>
              <w:szCs w:val="32"/>
              <w:lang w:eastAsia="zh-CN"/>
            </w:rPr>
            <w:t>安阳市工程技术研究中心申请标准</w:t>
          </w:r>
          <w:r>
            <w:rPr>
              <w:rFonts w:hint="eastAsia" w:ascii="仿宋" w:hAnsi="仿宋" w:eastAsia="仿宋" w:cs="仿宋"/>
              <w:b w:val="0"/>
              <w:bCs/>
            </w:rPr>
            <w:tab/>
          </w:r>
          <w:r>
            <w:rPr>
              <w:rFonts w:hint="eastAsia" w:ascii="仿宋" w:hAnsi="仿宋" w:eastAsia="仿宋" w:cs="仿宋"/>
              <w:b w:val="0"/>
              <w:bCs/>
              <w:lang w:val="en-US" w:eastAsia="zh-CN"/>
            </w:rPr>
            <w:t>1</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4</w:t>
          </w:r>
        </w:p>
        <w:p>
          <w:pPr>
            <w:pStyle w:val="15"/>
            <w:tabs>
              <w:tab w:val="right" w:leader="dot" w:pos="8306"/>
            </w:tabs>
            <w:rPr>
              <w:rFonts w:hint="default" w:ascii="仿宋" w:hAnsi="仿宋" w:eastAsia="仿宋" w:cs="仿宋"/>
              <w:b w:val="0"/>
              <w:bCs/>
              <w:lang w:val="en-US"/>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_Toc24175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 xml:space="preserve">  （二）</w:t>
          </w:r>
          <w:r>
            <w:rPr>
              <w:rFonts w:hint="eastAsia" w:ascii="仿宋" w:hAnsi="仿宋" w:eastAsia="仿宋" w:cs="仿宋"/>
              <w:b w:val="0"/>
              <w:bCs/>
              <w:szCs w:val="32"/>
              <w:lang w:eastAsia="zh-CN"/>
            </w:rPr>
            <w:t>安阳市工程技术研究中心奖补政策</w:t>
          </w:r>
          <w:r>
            <w:rPr>
              <w:rFonts w:hint="eastAsia" w:ascii="仿宋" w:hAnsi="仿宋" w:eastAsia="仿宋" w:cs="仿宋"/>
              <w:b w:val="0"/>
              <w:bCs/>
            </w:rPr>
            <w:tab/>
          </w:r>
          <w:r>
            <w:rPr>
              <w:rFonts w:hint="eastAsia" w:ascii="仿宋" w:hAnsi="仿宋" w:eastAsia="仿宋" w:cs="仿宋"/>
              <w:b w:val="0"/>
              <w:bCs/>
              <w:lang w:val="en-US" w:eastAsia="zh-CN"/>
            </w:rPr>
            <w:t>1</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5</w:t>
          </w:r>
        </w:p>
        <w:p>
          <w:pPr>
            <w:pStyle w:val="15"/>
            <w:tabs>
              <w:tab w:val="right" w:leader="dot" w:pos="8306"/>
            </w:tabs>
            <w:rPr>
              <w:rFonts w:hint="default" w:ascii="黑体" w:hAnsi="黑体" w:eastAsia="黑体" w:cs="黑体"/>
              <w:b w:val="0"/>
              <w:bCs w:val="0"/>
              <w:kern w:val="2"/>
              <w:szCs w:val="32"/>
              <w:lang w:val="en-US" w:eastAsia="zh-CN" w:bidi="ar-SA"/>
            </w:rPr>
          </w:pPr>
          <w:r>
            <w:rPr>
              <w:rFonts w:hint="eastAsia" w:ascii="黑体" w:hAnsi="黑体" w:eastAsia="黑体" w:cs="黑体"/>
              <w:b w:val="0"/>
              <w:bCs w:val="0"/>
              <w:kern w:val="2"/>
              <w:szCs w:val="32"/>
              <w:lang w:val="en-US" w:eastAsia="zh-CN" w:bidi="ar-SA"/>
            </w:rPr>
            <w:fldChar w:fldCharType="begin"/>
          </w:r>
          <w:r>
            <w:rPr>
              <w:rFonts w:hint="eastAsia" w:ascii="黑体" w:hAnsi="黑体" w:eastAsia="黑体" w:cs="黑体"/>
              <w:b w:val="0"/>
              <w:bCs w:val="0"/>
              <w:kern w:val="2"/>
              <w:szCs w:val="32"/>
              <w:lang w:val="en-US" w:eastAsia="zh-CN" w:bidi="ar-SA"/>
            </w:rPr>
            <w:instrText xml:space="preserve"> HYPERLINK \l _Toc930 </w:instrText>
          </w:r>
          <w:r>
            <w:rPr>
              <w:rFonts w:hint="eastAsia" w:ascii="黑体" w:hAnsi="黑体" w:eastAsia="黑体" w:cs="黑体"/>
              <w:b w:val="0"/>
              <w:bCs w:val="0"/>
              <w:kern w:val="2"/>
              <w:szCs w:val="32"/>
              <w:lang w:val="en-US" w:eastAsia="zh-CN" w:bidi="ar-SA"/>
            </w:rPr>
            <w:fldChar w:fldCharType="separate"/>
          </w:r>
          <w:r>
            <w:rPr>
              <w:rFonts w:hint="eastAsia" w:ascii="黑体" w:hAnsi="黑体" w:eastAsia="黑体" w:cs="黑体"/>
              <w:b w:val="0"/>
              <w:bCs w:val="0"/>
              <w:i w:val="0"/>
              <w:iCs w:val="0"/>
              <w:szCs w:val="32"/>
              <w:lang w:eastAsia="zh-CN"/>
            </w:rPr>
            <w:t>十、河南省技术转移示范机构</w:t>
          </w:r>
          <w:r>
            <w:rPr>
              <w:rFonts w:hint="eastAsia" w:ascii="黑体" w:hAnsi="黑体" w:eastAsia="黑体" w:cs="黑体"/>
              <w:b w:val="0"/>
              <w:bCs w:val="0"/>
            </w:rPr>
            <w:tab/>
          </w:r>
          <w:r>
            <w:rPr>
              <w:rFonts w:hint="eastAsia" w:ascii="黑体" w:hAnsi="黑体" w:eastAsia="黑体" w:cs="黑体"/>
              <w:b w:val="0"/>
              <w:bCs w:val="0"/>
              <w:lang w:val="en-US" w:eastAsia="zh-CN"/>
            </w:rPr>
            <w:t>1</w:t>
          </w:r>
          <w:r>
            <w:rPr>
              <w:rFonts w:hint="eastAsia" w:ascii="黑体" w:hAnsi="黑体" w:eastAsia="黑体" w:cs="黑体"/>
              <w:b w:val="0"/>
              <w:bCs w:val="0"/>
              <w:kern w:val="2"/>
              <w:szCs w:val="32"/>
              <w:lang w:val="en-US" w:eastAsia="zh-CN" w:bidi="ar-SA"/>
            </w:rPr>
            <w:fldChar w:fldCharType="end"/>
          </w:r>
          <w:r>
            <w:rPr>
              <w:rFonts w:hint="eastAsia" w:ascii="黑体" w:hAnsi="黑体" w:eastAsia="黑体" w:cs="黑体"/>
              <w:b w:val="0"/>
              <w:bCs w:val="0"/>
              <w:kern w:val="2"/>
              <w:szCs w:val="32"/>
              <w:lang w:val="en-US" w:eastAsia="zh-CN" w:bidi="ar-SA"/>
            </w:rPr>
            <w:t>6</w:t>
          </w:r>
        </w:p>
        <w:p>
          <w:pPr>
            <w:pStyle w:val="15"/>
            <w:tabs>
              <w:tab w:val="right" w:leader="dot" w:pos="8306"/>
            </w:tabs>
            <w:ind w:firstLine="200" w:firstLineChars="100"/>
            <w:rPr>
              <w:rFonts w:hint="default"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_Toc930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i w:val="0"/>
              <w:iCs w:val="0"/>
              <w:szCs w:val="32"/>
              <w:lang w:eastAsia="zh-CN"/>
            </w:rPr>
            <w:t>（一）河南省技术转移示范机构申请标准</w:t>
          </w:r>
          <w:r>
            <w:rPr>
              <w:rFonts w:hint="eastAsia" w:ascii="仿宋" w:hAnsi="仿宋" w:eastAsia="仿宋" w:cs="仿宋"/>
              <w:b w:val="0"/>
              <w:bCs/>
            </w:rPr>
            <w:tab/>
          </w:r>
          <w:r>
            <w:rPr>
              <w:rFonts w:hint="eastAsia" w:ascii="仿宋" w:hAnsi="仿宋" w:eastAsia="仿宋" w:cs="仿宋"/>
              <w:b w:val="0"/>
              <w:bCs/>
              <w:lang w:val="en-US" w:eastAsia="zh-CN"/>
            </w:rPr>
            <w:t>1</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6</w:t>
          </w:r>
        </w:p>
        <w:p>
          <w:pPr>
            <w:pStyle w:val="15"/>
            <w:tabs>
              <w:tab w:val="right" w:leader="dot" w:pos="8306"/>
            </w:tabs>
            <w:ind w:firstLine="200" w:firstLineChars="100"/>
            <w:rPr>
              <w:rFonts w:hint="default" w:ascii="仿宋" w:hAnsi="仿宋" w:eastAsia="仿宋" w:cs="仿宋"/>
              <w:b w:val="0"/>
              <w:bCs/>
              <w:kern w:val="2"/>
              <w:szCs w:val="32"/>
              <w:lang w:val="en-US" w:eastAsia="zh-CN" w:bidi="ar-SA"/>
            </w:rPr>
          </w:pPr>
          <w:r>
            <w:rPr>
              <w:rFonts w:hint="eastAsia" w:ascii="仿宋" w:hAnsi="仿宋" w:eastAsia="仿宋" w:cs="仿宋"/>
              <w:b w:val="0"/>
              <w:bCs/>
              <w:i w:val="0"/>
              <w:iCs w:val="0"/>
              <w:szCs w:val="32"/>
              <w:lang w:eastAsia="zh-CN"/>
            </w:rPr>
            <w:t>（二）河南省技术转移示范机构奖补政策</w:t>
          </w:r>
          <w:r>
            <w:rPr>
              <w:rFonts w:hint="eastAsia" w:ascii="仿宋" w:hAnsi="仿宋" w:eastAsia="仿宋" w:cs="仿宋"/>
              <w:b w:val="0"/>
              <w:bCs/>
            </w:rPr>
            <w:tab/>
          </w:r>
          <w:r>
            <w:rPr>
              <w:rFonts w:hint="eastAsia" w:ascii="仿宋" w:hAnsi="仿宋" w:eastAsia="仿宋" w:cs="仿宋"/>
              <w:b w:val="0"/>
              <w:bCs/>
              <w:lang w:val="en-US" w:eastAsia="zh-CN"/>
            </w:rPr>
            <w:t>17</w:t>
          </w:r>
        </w:p>
        <w:p>
          <w:pPr>
            <w:pStyle w:val="15"/>
            <w:tabs>
              <w:tab w:val="right" w:leader="dot" w:pos="8306"/>
            </w:tabs>
            <w:rPr>
              <w:rFonts w:hint="default" w:ascii="黑体" w:hAnsi="黑体" w:eastAsia="黑体" w:cs="黑体"/>
              <w:b w:val="0"/>
              <w:bCs w:val="0"/>
              <w:kern w:val="2"/>
              <w:szCs w:val="32"/>
              <w:lang w:val="en-US" w:eastAsia="zh-CN" w:bidi="ar-SA"/>
            </w:rPr>
          </w:pPr>
          <w:r>
            <w:rPr>
              <w:rFonts w:hint="eastAsia" w:ascii="黑体" w:hAnsi="黑体" w:eastAsia="黑体" w:cs="黑体"/>
              <w:b w:val="0"/>
              <w:bCs w:val="0"/>
              <w:kern w:val="2"/>
              <w:szCs w:val="32"/>
              <w:lang w:val="en-US" w:eastAsia="zh-CN" w:bidi="ar-SA"/>
            </w:rPr>
            <w:fldChar w:fldCharType="begin"/>
          </w:r>
          <w:r>
            <w:rPr>
              <w:rFonts w:hint="eastAsia" w:ascii="黑体" w:hAnsi="黑体" w:eastAsia="黑体" w:cs="黑体"/>
              <w:b w:val="0"/>
              <w:bCs w:val="0"/>
              <w:kern w:val="2"/>
              <w:szCs w:val="32"/>
              <w:lang w:val="en-US" w:eastAsia="zh-CN" w:bidi="ar-SA"/>
            </w:rPr>
            <w:instrText xml:space="preserve"> HYPERLINK \l _Toc8300 </w:instrText>
          </w:r>
          <w:r>
            <w:rPr>
              <w:rFonts w:hint="eastAsia" w:ascii="黑体" w:hAnsi="黑体" w:eastAsia="黑体" w:cs="黑体"/>
              <w:b w:val="0"/>
              <w:bCs w:val="0"/>
              <w:kern w:val="2"/>
              <w:szCs w:val="32"/>
              <w:lang w:val="en-US" w:eastAsia="zh-CN" w:bidi="ar-SA"/>
            </w:rPr>
            <w:fldChar w:fldCharType="separate"/>
          </w:r>
          <w:r>
            <w:rPr>
              <w:rFonts w:hint="eastAsia" w:ascii="黑体" w:hAnsi="黑体" w:eastAsia="黑体" w:cs="黑体"/>
              <w:b w:val="0"/>
              <w:bCs w:val="0"/>
              <w:szCs w:val="32"/>
              <w:lang w:eastAsia="zh-CN"/>
            </w:rPr>
            <w:t>十一、安阳市技术转移示范机构</w:t>
          </w:r>
          <w:r>
            <w:rPr>
              <w:rFonts w:hint="eastAsia" w:ascii="黑体" w:hAnsi="黑体" w:eastAsia="黑体" w:cs="黑体"/>
              <w:b w:val="0"/>
              <w:bCs w:val="0"/>
            </w:rPr>
            <w:tab/>
          </w:r>
          <w:r>
            <w:rPr>
              <w:rFonts w:hint="eastAsia" w:ascii="黑体" w:hAnsi="黑体" w:eastAsia="黑体" w:cs="黑体"/>
              <w:b w:val="0"/>
              <w:bCs w:val="0"/>
              <w:lang w:val="en-US" w:eastAsia="zh-CN"/>
            </w:rPr>
            <w:t>1</w:t>
          </w:r>
          <w:r>
            <w:rPr>
              <w:rFonts w:hint="eastAsia" w:ascii="黑体" w:hAnsi="黑体" w:eastAsia="黑体" w:cs="黑体"/>
              <w:b w:val="0"/>
              <w:bCs w:val="0"/>
              <w:kern w:val="2"/>
              <w:szCs w:val="32"/>
              <w:lang w:val="en-US" w:eastAsia="zh-CN" w:bidi="ar-SA"/>
            </w:rPr>
            <w:fldChar w:fldCharType="end"/>
          </w:r>
          <w:r>
            <w:rPr>
              <w:rFonts w:hint="eastAsia" w:ascii="黑体" w:hAnsi="黑体" w:eastAsia="黑体" w:cs="黑体"/>
              <w:b w:val="0"/>
              <w:bCs w:val="0"/>
              <w:kern w:val="2"/>
              <w:szCs w:val="32"/>
              <w:lang w:val="en-US" w:eastAsia="zh-CN" w:bidi="ar-SA"/>
            </w:rPr>
            <w:t>8</w:t>
          </w:r>
        </w:p>
        <w:p>
          <w:pPr>
            <w:pStyle w:val="15"/>
            <w:tabs>
              <w:tab w:val="right" w:leader="dot" w:pos="8306"/>
            </w:tabs>
            <w:ind w:firstLine="400" w:firstLineChars="200"/>
            <w:rPr>
              <w:rFonts w:hint="default"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_Toc8300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szCs w:val="32"/>
              <w:lang w:eastAsia="zh-CN"/>
            </w:rPr>
            <w:t>（一）安阳市技术转移示范机构申请标准</w:t>
          </w:r>
          <w:r>
            <w:rPr>
              <w:rFonts w:hint="eastAsia" w:ascii="仿宋" w:hAnsi="仿宋" w:eastAsia="仿宋" w:cs="仿宋"/>
              <w:b w:val="0"/>
              <w:bCs/>
            </w:rPr>
            <w:tab/>
          </w:r>
          <w:r>
            <w:rPr>
              <w:rFonts w:hint="eastAsia" w:ascii="仿宋" w:hAnsi="仿宋" w:eastAsia="仿宋" w:cs="仿宋"/>
              <w:b w:val="0"/>
              <w:bCs/>
              <w:lang w:val="en-US" w:eastAsia="zh-CN"/>
            </w:rPr>
            <w:t>1</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8</w:t>
          </w:r>
        </w:p>
        <w:p>
          <w:pPr>
            <w:pStyle w:val="15"/>
            <w:tabs>
              <w:tab w:val="right" w:leader="dot" w:pos="8306"/>
            </w:tabs>
            <w:ind w:firstLine="400" w:firstLineChars="200"/>
            <w:rPr>
              <w:rFonts w:hint="default" w:ascii="仿宋" w:hAnsi="仿宋" w:eastAsia="仿宋" w:cs="仿宋"/>
              <w:b w:val="0"/>
              <w:bCs/>
              <w:kern w:val="2"/>
              <w:szCs w:val="32"/>
              <w:lang w:val="en-US" w:eastAsia="zh-CN" w:bidi="ar-SA"/>
            </w:rPr>
          </w:pPr>
          <w:r>
            <w:rPr>
              <w:rFonts w:hint="eastAsia" w:ascii="仿宋" w:hAnsi="仿宋" w:eastAsia="仿宋" w:cs="仿宋"/>
              <w:b w:val="0"/>
              <w:bCs/>
              <w:szCs w:val="32"/>
              <w:lang w:eastAsia="zh-CN"/>
            </w:rPr>
            <w:t>（二）安阳市技术转移示范机构奖补政策</w:t>
          </w:r>
          <w:r>
            <w:rPr>
              <w:rFonts w:hint="eastAsia" w:ascii="仿宋" w:hAnsi="仿宋" w:eastAsia="仿宋" w:cs="仿宋"/>
              <w:b w:val="0"/>
              <w:bCs/>
            </w:rPr>
            <w:tab/>
          </w:r>
          <w:r>
            <w:rPr>
              <w:rFonts w:hint="eastAsia" w:ascii="仿宋" w:hAnsi="仿宋" w:eastAsia="仿宋" w:cs="仿宋"/>
              <w:b w:val="0"/>
              <w:bCs/>
              <w:lang w:val="en-US" w:eastAsia="zh-CN"/>
            </w:rPr>
            <w:t>19</w:t>
          </w:r>
        </w:p>
        <w:p>
          <w:pPr>
            <w:pStyle w:val="15"/>
            <w:tabs>
              <w:tab w:val="right" w:leader="dot" w:pos="8306"/>
            </w:tabs>
            <w:rPr>
              <w:rFonts w:hint="default" w:ascii="黑体" w:hAnsi="黑体" w:eastAsia="黑体" w:cs="黑体"/>
              <w:b/>
              <w:kern w:val="2"/>
              <w:szCs w:val="32"/>
              <w:lang w:val="en-US" w:eastAsia="zh-CN" w:bidi="ar-SA"/>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_Toc12909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lang w:eastAsia="zh-CN"/>
            </w:rPr>
            <w:t>十二、河南省新型研发机构</w:t>
          </w:r>
          <w:r>
            <w:rPr>
              <w:rFonts w:hint="eastAsia" w:ascii="黑体" w:hAnsi="黑体" w:eastAsia="黑体" w:cs="黑体"/>
              <w:b w:val="0"/>
              <w:bCs/>
            </w:rPr>
            <w:tab/>
          </w:r>
          <w:r>
            <w:rPr>
              <w:rFonts w:hint="eastAsia" w:ascii="黑体" w:hAnsi="黑体" w:eastAsia="黑体" w:cs="黑体"/>
              <w:b w:val="0"/>
              <w:bCs/>
              <w:lang w:val="en-US" w:eastAsia="zh-CN"/>
            </w:rPr>
            <w:t>2</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0</w:t>
          </w:r>
        </w:p>
        <w:p>
          <w:pPr>
            <w:pStyle w:val="15"/>
            <w:tabs>
              <w:tab w:val="right" w:leader="dot" w:pos="8306"/>
            </w:tabs>
            <w:ind w:firstLine="400" w:firstLineChars="200"/>
            <w:rPr>
              <w:rFonts w:hint="default"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_Toc12909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szCs w:val="32"/>
              <w:lang w:eastAsia="zh-CN"/>
            </w:rPr>
            <w:t>（一）河南省新型研发机构申请标准</w:t>
          </w:r>
          <w:r>
            <w:rPr>
              <w:rFonts w:hint="eastAsia" w:ascii="仿宋" w:hAnsi="仿宋" w:eastAsia="仿宋" w:cs="仿宋"/>
              <w:b w:val="0"/>
              <w:bCs/>
            </w:rPr>
            <w:tab/>
          </w:r>
          <w:r>
            <w:rPr>
              <w:rFonts w:hint="eastAsia" w:ascii="仿宋" w:hAnsi="仿宋" w:eastAsia="仿宋" w:cs="仿宋"/>
              <w:b w:val="0"/>
              <w:bCs/>
              <w:lang w:val="en-US" w:eastAsia="zh-CN"/>
            </w:rPr>
            <w:t>2</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0</w:t>
          </w:r>
        </w:p>
        <w:p>
          <w:pPr>
            <w:pStyle w:val="15"/>
            <w:tabs>
              <w:tab w:val="right" w:leader="dot" w:pos="8306"/>
            </w:tabs>
            <w:ind w:firstLine="400" w:firstLineChars="200"/>
            <w:rPr>
              <w:rFonts w:hint="default" w:ascii="仿宋" w:hAnsi="仿宋" w:eastAsia="仿宋" w:cs="仿宋"/>
              <w:b w:val="0"/>
              <w:bCs/>
              <w:kern w:val="2"/>
              <w:szCs w:val="32"/>
              <w:lang w:val="en-US" w:eastAsia="zh-CN" w:bidi="ar-SA"/>
            </w:rPr>
          </w:pPr>
          <w:r>
            <w:rPr>
              <w:rFonts w:hint="eastAsia" w:ascii="仿宋" w:hAnsi="仿宋" w:eastAsia="仿宋" w:cs="仿宋"/>
              <w:b w:val="0"/>
              <w:bCs/>
              <w:szCs w:val="32"/>
              <w:lang w:eastAsia="zh-CN"/>
            </w:rPr>
            <w:t>（二）河南省新型研发机构奖补政策</w:t>
          </w:r>
          <w:r>
            <w:rPr>
              <w:rFonts w:hint="eastAsia" w:ascii="仿宋" w:hAnsi="仿宋" w:eastAsia="仿宋" w:cs="仿宋"/>
              <w:b w:val="0"/>
              <w:bCs/>
            </w:rPr>
            <w:tab/>
          </w:r>
          <w:r>
            <w:rPr>
              <w:rFonts w:hint="eastAsia" w:ascii="仿宋" w:hAnsi="仿宋" w:eastAsia="仿宋" w:cs="仿宋"/>
              <w:b w:val="0"/>
              <w:bCs/>
              <w:lang w:val="en-US" w:eastAsia="zh-CN"/>
            </w:rPr>
            <w:t>21</w:t>
          </w:r>
        </w:p>
        <w:p>
          <w:pPr>
            <w:pStyle w:val="15"/>
            <w:tabs>
              <w:tab w:val="right" w:leader="dot" w:pos="8306"/>
            </w:tabs>
            <w:rPr>
              <w:rFonts w:hint="default" w:ascii="黑体" w:hAnsi="黑体" w:eastAsia="黑体" w:cs="黑体"/>
              <w:b w:val="0"/>
              <w:bCs/>
              <w:kern w:val="2"/>
              <w:szCs w:val="32"/>
              <w:lang w:val="en-US" w:eastAsia="zh-CN" w:bidi="ar-SA"/>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_Toc21242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lang w:eastAsia="zh-CN"/>
            </w:rPr>
            <w:t>十三、安阳市新型研发机构</w:t>
          </w:r>
          <w:r>
            <w:rPr>
              <w:rFonts w:hint="eastAsia" w:ascii="黑体" w:hAnsi="黑体" w:eastAsia="黑体" w:cs="黑体"/>
              <w:b w:val="0"/>
              <w:bCs/>
            </w:rPr>
            <w:tab/>
          </w:r>
          <w:r>
            <w:rPr>
              <w:rFonts w:hint="eastAsia" w:ascii="黑体" w:hAnsi="黑体" w:eastAsia="黑体" w:cs="黑体"/>
              <w:b w:val="0"/>
              <w:bCs/>
              <w:lang w:val="en-US" w:eastAsia="zh-CN"/>
            </w:rPr>
            <w:t>2</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2</w:t>
          </w:r>
        </w:p>
        <w:p>
          <w:pPr>
            <w:pStyle w:val="15"/>
            <w:tabs>
              <w:tab w:val="right" w:leader="dot" w:pos="8306"/>
            </w:tabs>
            <w:ind w:firstLine="400" w:firstLineChars="200"/>
            <w:rPr>
              <w:rFonts w:hint="default"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_Toc21242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（一）</w:t>
          </w:r>
          <w:r>
            <w:rPr>
              <w:rFonts w:hint="eastAsia" w:ascii="仿宋" w:hAnsi="仿宋" w:eastAsia="仿宋" w:cs="仿宋"/>
              <w:b w:val="0"/>
              <w:bCs/>
              <w:szCs w:val="32"/>
              <w:lang w:eastAsia="zh-CN"/>
            </w:rPr>
            <w:t>安阳市新型研发机构申请标准</w:t>
          </w:r>
          <w:r>
            <w:rPr>
              <w:rFonts w:hint="eastAsia" w:ascii="仿宋" w:hAnsi="仿宋" w:eastAsia="仿宋" w:cs="仿宋"/>
              <w:b w:val="0"/>
              <w:bCs/>
            </w:rPr>
            <w:tab/>
          </w:r>
          <w:r>
            <w:rPr>
              <w:rFonts w:hint="eastAsia" w:ascii="仿宋" w:hAnsi="仿宋" w:eastAsia="仿宋" w:cs="仿宋"/>
              <w:b w:val="0"/>
              <w:bCs/>
              <w:lang w:val="en-US" w:eastAsia="zh-CN"/>
            </w:rPr>
            <w:t>2</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2</w:t>
          </w:r>
        </w:p>
        <w:p>
          <w:pPr>
            <w:pStyle w:val="15"/>
            <w:tabs>
              <w:tab w:val="right" w:leader="dot" w:pos="8306"/>
            </w:tabs>
            <w:rPr>
              <w:rFonts w:hint="default" w:ascii="黑体" w:hAnsi="黑体" w:eastAsia="黑体" w:cs="黑体"/>
              <w:b w:val="0"/>
              <w:bCs/>
              <w:kern w:val="2"/>
              <w:szCs w:val="32"/>
              <w:lang w:val="en-US" w:eastAsia="zh-CN" w:bidi="ar-SA"/>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_Toc7806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lang w:eastAsia="zh-CN"/>
            </w:rPr>
            <w:t>十四、</w:t>
          </w:r>
          <w:r>
            <w:rPr>
              <w:rFonts w:hint="eastAsia" w:ascii="黑体" w:hAnsi="黑体" w:eastAsia="黑体" w:cs="黑体"/>
              <w:b w:val="0"/>
              <w:bCs/>
              <w:szCs w:val="32"/>
            </w:rPr>
            <w:t>河南省“专精特新”中小企业</w:t>
          </w:r>
          <w:r>
            <w:rPr>
              <w:rFonts w:hint="eastAsia" w:ascii="黑体" w:hAnsi="黑体" w:eastAsia="黑体" w:cs="黑体"/>
              <w:b w:val="0"/>
              <w:bCs/>
            </w:rPr>
            <w:tab/>
          </w:r>
          <w:r>
            <w:rPr>
              <w:rFonts w:hint="eastAsia" w:ascii="黑体" w:hAnsi="黑体" w:eastAsia="黑体" w:cs="黑体"/>
              <w:b w:val="0"/>
              <w:bCs/>
              <w:lang w:val="en-US" w:eastAsia="zh-CN"/>
            </w:rPr>
            <w:t>2</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3</w:t>
          </w:r>
        </w:p>
        <w:p>
          <w:pPr>
            <w:pStyle w:val="15"/>
            <w:tabs>
              <w:tab w:val="right" w:leader="dot" w:pos="8306"/>
            </w:tabs>
            <w:ind w:firstLine="400" w:firstLineChars="200"/>
            <w:rPr>
              <w:rFonts w:hint="default"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t>（一）</w:t>
          </w: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_Toc7806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szCs w:val="32"/>
            </w:rPr>
            <w:t>河南省“专精特新”中小企业</w:t>
          </w:r>
          <w:r>
            <w:rPr>
              <w:rFonts w:hint="eastAsia" w:ascii="仿宋" w:hAnsi="仿宋" w:eastAsia="仿宋" w:cs="仿宋"/>
              <w:b w:val="0"/>
              <w:bCs/>
              <w:szCs w:val="32"/>
              <w:lang w:eastAsia="zh-CN"/>
            </w:rPr>
            <w:t>申请标准</w:t>
          </w:r>
          <w:r>
            <w:rPr>
              <w:rFonts w:hint="eastAsia" w:ascii="仿宋" w:hAnsi="仿宋" w:eastAsia="仿宋" w:cs="仿宋"/>
              <w:b w:val="0"/>
              <w:bCs/>
            </w:rPr>
            <w:tab/>
          </w:r>
          <w:r>
            <w:rPr>
              <w:rFonts w:hint="eastAsia" w:ascii="仿宋" w:hAnsi="仿宋" w:eastAsia="仿宋" w:cs="仿宋"/>
              <w:b w:val="0"/>
              <w:bCs/>
              <w:lang w:val="en-US" w:eastAsia="zh-CN"/>
            </w:rPr>
            <w:t>2</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3</w:t>
          </w:r>
        </w:p>
        <w:p>
          <w:pPr>
            <w:pStyle w:val="15"/>
            <w:tabs>
              <w:tab w:val="right" w:leader="dot" w:pos="8306"/>
            </w:tabs>
            <w:ind w:firstLine="400" w:firstLineChars="200"/>
            <w:rPr>
              <w:rFonts w:hint="default" w:ascii="仿宋" w:hAnsi="仿宋" w:eastAsia="仿宋" w:cs="仿宋"/>
              <w:b w:val="0"/>
              <w:bCs/>
              <w:kern w:val="2"/>
              <w:szCs w:val="32"/>
              <w:lang w:val="en-US" w:eastAsia="zh-CN" w:bidi="ar-SA"/>
            </w:rPr>
          </w:pPr>
          <w:r>
            <w:rPr>
              <w:rFonts w:hint="eastAsia" w:ascii="仿宋" w:hAnsi="仿宋" w:eastAsia="仿宋" w:cs="仿宋"/>
              <w:b w:val="0"/>
              <w:bCs/>
              <w:kern w:val="2"/>
              <w:szCs w:val="32"/>
              <w:lang w:val="en-US" w:eastAsia="zh-CN" w:bidi="ar-SA"/>
            </w:rPr>
            <w:t>（二）</w:t>
          </w: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_Toc7806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szCs w:val="32"/>
            </w:rPr>
            <w:t>河南省“专精特新”中小企业</w:t>
          </w:r>
          <w:r>
            <w:rPr>
              <w:rFonts w:hint="eastAsia" w:ascii="仿宋" w:hAnsi="仿宋" w:eastAsia="仿宋" w:cs="仿宋"/>
              <w:b w:val="0"/>
              <w:bCs/>
              <w:szCs w:val="32"/>
              <w:lang w:eastAsia="zh-CN"/>
            </w:rPr>
            <w:t>奖补政策</w:t>
          </w:r>
          <w:r>
            <w:rPr>
              <w:rFonts w:hint="eastAsia" w:ascii="仿宋" w:hAnsi="仿宋" w:eastAsia="仿宋" w:cs="仿宋"/>
              <w:b w:val="0"/>
              <w:bCs/>
            </w:rPr>
            <w:tab/>
          </w:r>
          <w:r>
            <w:rPr>
              <w:rFonts w:hint="eastAsia" w:ascii="仿宋" w:hAnsi="仿宋" w:eastAsia="仿宋" w:cs="仿宋"/>
              <w:b w:val="0"/>
              <w:bCs/>
              <w:lang w:val="en-US" w:eastAsia="zh-CN"/>
            </w:rPr>
            <w:t>2</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4</w:t>
          </w:r>
        </w:p>
        <w:p>
          <w:pPr>
            <w:pStyle w:val="15"/>
            <w:tabs>
              <w:tab w:val="right" w:leader="dot" w:pos="8306"/>
            </w:tabs>
            <w:rPr>
              <w:rFonts w:hint="default" w:ascii="黑体" w:hAnsi="黑体" w:eastAsia="黑体" w:cs="黑体"/>
              <w:b w:val="0"/>
              <w:bCs/>
              <w:lang w:val="en-US"/>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_Toc21789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vertAlign w:val="baseline"/>
              <w:lang w:val="en-US" w:eastAsia="zh-CN"/>
            </w:rPr>
            <w:t>十五、工信部专精特新“小巨人”企业</w:t>
          </w:r>
          <w:r>
            <w:rPr>
              <w:rFonts w:hint="eastAsia" w:ascii="黑体" w:hAnsi="黑体" w:eastAsia="黑体" w:cs="黑体"/>
              <w:b w:val="0"/>
              <w:bCs/>
            </w:rPr>
            <w:tab/>
          </w:r>
          <w:r>
            <w:rPr>
              <w:rFonts w:hint="eastAsia" w:ascii="黑体" w:hAnsi="黑体" w:eastAsia="黑体" w:cs="黑体"/>
              <w:b w:val="0"/>
              <w:bCs/>
              <w:lang w:val="en-US" w:eastAsia="zh-CN"/>
            </w:rPr>
            <w:t>2</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5</w:t>
          </w:r>
        </w:p>
        <w:p>
          <w:pPr>
            <w:pStyle w:val="15"/>
            <w:tabs>
              <w:tab w:val="right" w:leader="dot" w:pos="8306"/>
            </w:tabs>
            <w:ind w:firstLine="400" w:firstLineChars="200"/>
            <w:rPr>
              <w:rFonts w:hint="default" w:ascii="仿宋" w:hAnsi="仿宋" w:eastAsia="仿宋" w:cs="仿宋"/>
              <w:b w:val="0"/>
              <w:bCs/>
              <w:lang w:val="en-US"/>
            </w:rPr>
          </w:pP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_Toc21789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kern w:val="2"/>
              <w:szCs w:val="32"/>
              <w:lang w:val="en-US" w:eastAsia="zh-CN" w:bidi="ar-SA"/>
            </w:rPr>
            <w:t>（一）</w:t>
          </w:r>
          <w:r>
            <w:rPr>
              <w:rFonts w:hint="eastAsia" w:ascii="仿宋" w:hAnsi="仿宋" w:eastAsia="仿宋" w:cs="仿宋"/>
              <w:b w:val="0"/>
              <w:bCs/>
              <w:szCs w:val="32"/>
              <w:vertAlign w:val="baseline"/>
              <w:lang w:val="en-US" w:eastAsia="zh-CN"/>
            </w:rPr>
            <w:t>工信部专精特新“小巨人”企业申请标准</w:t>
          </w:r>
          <w:r>
            <w:rPr>
              <w:rFonts w:hint="eastAsia" w:ascii="仿宋" w:hAnsi="仿宋" w:eastAsia="仿宋" w:cs="仿宋"/>
              <w:b w:val="0"/>
              <w:bCs/>
            </w:rPr>
            <w:tab/>
          </w:r>
          <w:r>
            <w:rPr>
              <w:rFonts w:hint="eastAsia" w:ascii="仿宋" w:hAnsi="仿宋" w:eastAsia="仿宋" w:cs="仿宋"/>
              <w:b w:val="0"/>
              <w:bCs/>
              <w:lang w:val="en-US" w:eastAsia="zh-CN"/>
            </w:rPr>
            <w:t>2</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5</w:t>
          </w:r>
        </w:p>
        <w:p>
          <w:pPr>
            <w:pStyle w:val="15"/>
            <w:tabs>
              <w:tab w:val="right" w:leader="dot" w:pos="8306"/>
            </w:tabs>
            <w:rPr>
              <w:rFonts w:hint="default" w:ascii="黑体" w:hAnsi="黑体" w:eastAsia="黑体" w:cs="黑体"/>
              <w:b w:val="0"/>
              <w:bCs/>
              <w:lang w:val="en-US"/>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_Toc11957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vertAlign w:val="baseline"/>
              <w:lang w:val="en-US" w:eastAsia="zh-CN"/>
            </w:rPr>
            <w:t>十六、工信部重点“小巨人”、支持</w:t>
          </w:r>
          <w:r>
            <w:rPr>
              <w:rFonts w:hint="eastAsia" w:ascii="黑体" w:hAnsi="黑体" w:eastAsia="黑体" w:cs="黑体"/>
              <w:b w:val="0"/>
              <w:bCs/>
              <w:i w:val="0"/>
              <w:caps w:val="0"/>
              <w:spacing w:val="0"/>
              <w:szCs w:val="32"/>
            </w:rPr>
            <w:t>国家（或省级）中小企业公共服务示范平台</w:t>
          </w:r>
          <w:r>
            <w:rPr>
              <w:rFonts w:hint="eastAsia" w:ascii="黑体" w:hAnsi="黑体" w:eastAsia="黑体" w:cs="黑体"/>
              <w:b w:val="0"/>
              <w:bCs/>
            </w:rPr>
            <w:tab/>
          </w:r>
          <w:r>
            <w:rPr>
              <w:rFonts w:hint="eastAsia" w:ascii="黑体" w:hAnsi="黑体" w:eastAsia="黑体" w:cs="黑体"/>
              <w:b w:val="0"/>
              <w:bCs/>
              <w:lang w:val="en-US" w:eastAsia="zh-CN"/>
            </w:rPr>
            <w:t>2</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8</w:t>
          </w:r>
        </w:p>
        <w:p>
          <w:pPr>
            <w:pStyle w:val="16"/>
            <w:tabs>
              <w:tab w:val="right" w:leader="dot" w:pos="8306"/>
            </w:tabs>
            <w:rPr>
              <w:rFonts w:hint="default" w:ascii="仿宋" w:hAnsi="仿宋" w:eastAsia="仿宋" w:cs="仿宋"/>
              <w:lang w:val="en-US"/>
            </w:rPr>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_Toc2842 </w:instrText>
          </w:r>
          <w:r>
            <w:rPr>
              <w:rFonts w:hint="eastAsia" w:ascii="仿宋" w:hAnsi="仿宋" w:eastAsia="仿宋" w:cs="仿宋"/>
              <w:kern w:val="2"/>
              <w:szCs w:val="32"/>
              <w:lang w:val="en-US" w:eastAsia="zh-CN" w:bidi="ar-SA"/>
            </w:rPr>
            <w:fldChar w:fldCharType="separate"/>
          </w:r>
          <w:r>
            <w:rPr>
              <w:rFonts w:hint="eastAsia" w:ascii="仿宋" w:hAnsi="仿宋" w:eastAsia="仿宋" w:cs="仿宋"/>
              <w:szCs w:val="32"/>
              <w:lang w:val="en-US" w:eastAsia="zh-CN"/>
            </w:rPr>
            <w:t>（一）重点“小巨人”企业申请标准</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kern w:val="2"/>
              <w:szCs w:val="32"/>
              <w:lang w:val="en-US" w:eastAsia="zh-CN" w:bidi="ar-SA"/>
            </w:rPr>
            <w:fldChar w:fldCharType="end"/>
          </w:r>
          <w:r>
            <w:rPr>
              <w:rFonts w:hint="eastAsia" w:ascii="仿宋" w:hAnsi="仿宋" w:eastAsia="仿宋" w:cs="仿宋"/>
              <w:kern w:val="2"/>
              <w:szCs w:val="32"/>
              <w:lang w:val="en-US" w:eastAsia="zh-CN" w:bidi="ar-SA"/>
            </w:rPr>
            <w:t>8</w:t>
          </w:r>
        </w:p>
        <w:p>
          <w:pPr>
            <w:pStyle w:val="16"/>
            <w:tabs>
              <w:tab w:val="right" w:leader="dot" w:pos="8306"/>
            </w:tabs>
            <w:rPr>
              <w:rFonts w:hint="default" w:ascii="仿宋" w:hAnsi="仿宋" w:eastAsia="仿宋" w:cs="仿宋"/>
              <w:kern w:val="2"/>
              <w:szCs w:val="32"/>
              <w:lang w:val="en-US" w:eastAsia="zh-CN" w:bidi="ar-SA"/>
            </w:rPr>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_Toc28815 </w:instrText>
          </w:r>
          <w:r>
            <w:rPr>
              <w:rFonts w:hint="eastAsia" w:ascii="仿宋" w:hAnsi="仿宋" w:eastAsia="仿宋" w:cs="仿宋"/>
              <w:kern w:val="2"/>
              <w:szCs w:val="32"/>
              <w:lang w:val="en-US" w:eastAsia="zh-CN" w:bidi="ar-SA"/>
            </w:rPr>
            <w:fldChar w:fldCharType="separate"/>
          </w:r>
          <w:r>
            <w:rPr>
              <w:rFonts w:hint="eastAsia" w:ascii="仿宋" w:hAnsi="仿宋" w:eastAsia="仿宋" w:cs="仿宋"/>
              <w:szCs w:val="32"/>
              <w:lang w:val="en-US" w:eastAsia="zh-CN"/>
            </w:rPr>
            <w:t>（二）支持国家（或省级）中小企业公共服务示范平台的申报条件</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kern w:val="2"/>
              <w:szCs w:val="32"/>
              <w:lang w:val="en-US" w:eastAsia="zh-CN" w:bidi="ar-SA"/>
            </w:rPr>
            <w:fldChar w:fldCharType="end"/>
          </w:r>
          <w:r>
            <w:rPr>
              <w:rFonts w:hint="eastAsia" w:ascii="仿宋" w:hAnsi="仿宋" w:eastAsia="仿宋" w:cs="仿宋"/>
              <w:kern w:val="2"/>
              <w:szCs w:val="32"/>
              <w:lang w:val="en-US" w:eastAsia="zh-CN" w:bidi="ar-SA"/>
            </w:rPr>
            <w:t>9</w:t>
          </w:r>
        </w:p>
        <w:p>
          <w:pPr>
            <w:pStyle w:val="16"/>
            <w:tabs>
              <w:tab w:val="right" w:leader="dot" w:pos="8306"/>
            </w:tabs>
            <w:rPr>
              <w:rFonts w:hint="default" w:ascii="仿宋" w:hAnsi="仿宋" w:eastAsia="仿宋" w:cs="仿宋"/>
              <w:lang w:val="en-US"/>
            </w:rPr>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_Toc14382 </w:instrText>
          </w:r>
          <w:r>
            <w:rPr>
              <w:rFonts w:hint="eastAsia" w:ascii="仿宋" w:hAnsi="仿宋" w:eastAsia="仿宋" w:cs="仿宋"/>
              <w:kern w:val="2"/>
              <w:szCs w:val="32"/>
              <w:lang w:val="en-US" w:eastAsia="zh-CN" w:bidi="ar-SA"/>
            </w:rPr>
            <w:fldChar w:fldCharType="separate"/>
          </w:r>
          <w:r>
            <w:rPr>
              <w:rFonts w:hint="eastAsia" w:ascii="仿宋" w:hAnsi="仿宋" w:eastAsia="仿宋" w:cs="仿宋"/>
              <w:bCs/>
              <w:szCs w:val="32"/>
              <w:shd w:val="clear" w:fill="FFFFFF"/>
            </w:rPr>
            <w:t>（</w:t>
          </w:r>
          <w:r>
            <w:rPr>
              <w:rFonts w:hint="eastAsia" w:ascii="仿宋" w:hAnsi="仿宋" w:eastAsia="仿宋" w:cs="仿宋"/>
              <w:bCs/>
              <w:szCs w:val="32"/>
              <w:shd w:val="clear" w:fill="FFFFFF"/>
              <w:lang w:eastAsia="zh-CN"/>
            </w:rPr>
            <w:t>三</w:t>
          </w:r>
          <w:r>
            <w:rPr>
              <w:rFonts w:hint="eastAsia" w:ascii="仿宋" w:hAnsi="仿宋" w:eastAsia="仿宋" w:cs="仿宋"/>
              <w:bCs/>
              <w:szCs w:val="32"/>
              <w:shd w:val="clear" w:fill="FFFFFF"/>
            </w:rPr>
            <w:t>）</w:t>
          </w:r>
          <w:r>
            <w:rPr>
              <w:rFonts w:hint="eastAsia" w:ascii="仿宋" w:hAnsi="仿宋" w:eastAsia="仿宋" w:cs="仿宋"/>
              <w:bCs/>
              <w:szCs w:val="32"/>
              <w:shd w:val="clear" w:color="auto" w:fill="FFFFFF"/>
              <w:lang w:eastAsia="zh-CN"/>
            </w:rPr>
            <w:t>奖补政策</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kern w:val="2"/>
              <w:szCs w:val="32"/>
              <w:lang w:val="en-US" w:eastAsia="zh-CN" w:bidi="ar-SA"/>
            </w:rPr>
            <w:fldChar w:fldCharType="end"/>
          </w:r>
          <w:r>
            <w:rPr>
              <w:rFonts w:hint="eastAsia" w:ascii="仿宋" w:hAnsi="仿宋" w:eastAsia="仿宋" w:cs="仿宋"/>
              <w:kern w:val="2"/>
              <w:szCs w:val="32"/>
              <w:lang w:val="en-US" w:eastAsia="zh-CN" w:bidi="ar-SA"/>
            </w:rPr>
            <w:t>0</w:t>
          </w:r>
        </w:p>
        <w:p>
          <w:pPr>
            <w:pStyle w:val="15"/>
            <w:tabs>
              <w:tab w:val="right" w:leader="dot" w:pos="8306"/>
            </w:tabs>
            <w:rPr>
              <w:rFonts w:hint="default" w:ascii="黑体" w:hAnsi="黑体" w:eastAsia="黑体" w:cs="黑体"/>
              <w:b w:val="0"/>
              <w:bCs/>
              <w:lang w:val="en-US"/>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_Toc22642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i w:val="0"/>
              <w:caps w:val="0"/>
              <w:spacing w:val="0"/>
              <w:szCs w:val="44"/>
              <w:lang w:eastAsia="zh-CN"/>
            </w:rPr>
            <w:t>各个板块上市条件</w:t>
          </w:r>
          <w:r>
            <w:rPr>
              <w:rFonts w:hint="eastAsia" w:ascii="黑体" w:hAnsi="黑体" w:eastAsia="黑体" w:cs="黑体"/>
              <w:b w:val="0"/>
              <w:bCs/>
            </w:rPr>
            <w:tab/>
          </w:r>
          <w:r>
            <w:rPr>
              <w:rFonts w:hint="eastAsia" w:ascii="黑体" w:hAnsi="黑体" w:eastAsia="黑体" w:cs="黑体"/>
              <w:b w:val="0"/>
              <w:bCs/>
              <w:lang w:val="en-US" w:eastAsia="zh-CN"/>
            </w:rPr>
            <w:t>3</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2</w:t>
          </w:r>
        </w:p>
        <w:p>
          <w:pPr>
            <w:pStyle w:val="15"/>
            <w:tabs>
              <w:tab w:val="right" w:leader="dot" w:pos="8306"/>
            </w:tabs>
            <w:rPr>
              <w:rFonts w:hint="default" w:ascii="黑体" w:hAnsi="黑体" w:eastAsia="黑体" w:cs="黑体"/>
              <w:b w:val="0"/>
              <w:bCs/>
              <w:lang w:val="en-US"/>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_Toc32626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shd w:val="clear" w:fill="FFFFFF"/>
            </w:rPr>
            <w:t xml:space="preserve">一、 </w:t>
          </w:r>
          <w:r>
            <w:rPr>
              <w:rFonts w:hint="eastAsia" w:ascii="黑体" w:hAnsi="黑体" w:eastAsia="黑体" w:cs="黑体"/>
              <w:b w:val="0"/>
              <w:bCs/>
              <w:szCs w:val="32"/>
              <w:shd w:val="clear" w:color="auto" w:fill="FFFFFF"/>
            </w:rPr>
            <w:t>企业上市流程</w:t>
          </w:r>
          <w:r>
            <w:rPr>
              <w:rFonts w:hint="eastAsia" w:ascii="黑体" w:hAnsi="黑体" w:eastAsia="黑体" w:cs="黑体"/>
              <w:b w:val="0"/>
              <w:bCs/>
            </w:rPr>
            <w:tab/>
          </w:r>
          <w:r>
            <w:rPr>
              <w:rFonts w:hint="eastAsia" w:ascii="黑体" w:hAnsi="黑体" w:eastAsia="黑体" w:cs="黑体"/>
              <w:b w:val="0"/>
              <w:bCs/>
              <w:lang w:val="en-US" w:eastAsia="zh-CN"/>
            </w:rPr>
            <w:t>3</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2</w:t>
          </w:r>
        </w:p>
        <w:p>
          <w:pPr>
            <w:pStyle w:val="15"/>
            <w:tabs>
              <w:tab w:val="right" w:leader="dot" w:pos="8306"/>
            </w:tabs>
            <w:rPr>
              <w:rFonts w:hint="default" w:ascii="黑体" w:hAnsi="黑体" w:eastAsia="黑体" w:cs="黑体"/>
              <w:b w:val="0"/>
              <w:bCs/>
              <w:lang w:val="en-US"/>
            </w:rPr>
          </w:pP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_Toc18883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shd w:val="clear" w:fill="FFFFFF"/>
            </w:rPr>
            <w:t xml:space="preserve">二、 </w:t>
          </w:r>
          <w:r>
            <w:rPr>
              <w:rFonts w:hint="eastAsia" w:ascii="黑体" w:hAnsi="黑体" w:eastAsia="黑体" w:cs="黑体"/>
              <w:b w:val="0"/>
              <w:bCs/>
              <w:szCs w:val="32"/>
              <w:shd w:val="clear" w:color="auto" w:fill="FFFFFF"/>
            </w:rPr>
            <w:t>各板块上市条件</w:t>
          </w:r>
          <w:r>
            <w:rPr>
              <w:rFonts w:hint="eastAsia" w:ascii="黑体" w:hAnsi="黑体" w:eastAsia="黑体" w:cs="黑体"/>
              <w:b w:val="0"/>
              <w:bCs/>
            </w:rPr>
            <w:tab/>
          </w:r>
          <w:r>
            <w:rPr>
              <w:rFonts w:hint="eastAsia" w:ascii="黑体" w:hAnsi="黑体" w:eastAsia="黑体" w:cs="黑体"/>
              <w:b w:val="0"/>
              <w:bCs/>
              <w:lang w:val="en-US" w:eastAsia="zh-CN"/>
            </w:rPr>
            <w:t>3</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3</w:t>
          </w:r>
        </w:p>
        <w:p>
          <w:pPr>
            <w:pStyle w:val="15"/>
            <w:tabs>
              <w:tab w:val="right" w:leader="dot" w:pos="8306"/>
            </w:tabs>
            <w:rPr>
              <w:rFonts w:hint="default" w:ascii="黑体" w:hAnsi="黑体" w:eastAsia="黑体" w:cs="黑体"/>
              <w:b w:val="0"/>
              <w:bCs/>
              <w:lang w:val="en-US"/>
            </w:rPr>
          </w:pPr>
          <w:r>
            <w:rPr>
              <w:rFonts w:hint="eastAsia" w:ascii="黑体" w:hAnsi="黑体" w:eastAsia="黑体" w:cs="黑体"/>
              <w:b w:val="0"/>
              <w:bCs/>
              <w:kern w:val="2"/>
              <w:szCs w:val="32"/>
              <w:lang w:val="en-US" w:eastAsia="zh-CN" w:bidi="ar-SA"/>
            </w:rPr>
            <w:t xml:space="preserve">三、 </w:t>
          </w:r>
          <w:r>
            <w:rPr>
              <w:rFonts w:hint="eastAsia" w:ascii="黑体" w:hAnsi="黑体" w:eastAsia="黑体" w:cs="黑体"/>
              <w:b w:val="0"/>
              <w:bCs/>
              <w:kern w:val="2"/>
              <w:szCs w:val="32"/>
              <w:lang w:val="en-US" w:eastAsia="zh-CN" w:bidi="ar-SA"/>
            </w:rPr>
            <w:fldChar w:fldCharType="begin"/>
          </w:r>
          <w:r>
            <w:rPr>
              <w:rFonts w:hint="eastAsia" w:ascii="黑体" w:hAnsi="黑体" w:eastAsia="黑体" w:cs="黑体"/>
              <w:b w:val="0"/>
              <w:bCs/>
              <w:kern w:val="2"/>
              <w:szCs w:val="32"/>
              <w:lang w:val="en-US" w:eastAsia="zh-CN" w:bidi="ar-SA"/>
            </w:rPr>
            <w:instrText xml:space="preserve"> HYPERLINK \l _Toc7866 </w:instrText>
          </w:r>
          <w:r>
            <w:rPr>
              <w:rFonts w:hint="eastAsia" w:ascii="黑体" w:hAnsi="黑体" w:eastAsia="黑体" w:cs="黑体"/>
              <w:b w:val="0"/>
              <w:bCs/>
              <w:kern w:val="2"/>
              <w:szCs w:val="32"/>
              <w:lang w:val="en-US" w:eastAsia="zh-CN" w:bidi="ar-SA"/>
            </w:rPr>
            <w:fldChar w:fldCharType="separate"/>
          </w:r>
          <w:r>
            <w:rPr>
              <w:rFonts w:hint="eastAsia" w:ascii="黑体" w:hAnsi="黑体" w:eastAsia="黑体" w:cs="黑体"/>
              <w:b w:val="0"/>
              <w:bCs/>
              <w:szCs w:val="32"/>
              <w:lang w:eastAsia="zh-CN"/>
            </w:rPr>
            <w:t>奖补政策</w:t>
          </w:r>
          <w:r>
            <w:rPr>
              <w:rFonts w:hint="eastAsia" w:ascii="黑体" w:hAnsi="黑体" w:eastAsia="黑体" w:cs="黑体"/>
              <w:b w:val="0"/>
              <w:bCs/>
            </w:rPr>
            <w:tab/>
          </w:r>
          <w:r>
            <w:rPr>
              <w:rFonts w:hint="eastAsia" w:ascii="黑体" w:hAnsi="黑体" w:eastAsia="黑体" w:cs="黑体"/>
              <w:b w:val="0"/>
              <w:bCs/>
              <w:lang w:val="en-US" w:eastAsia="zh-CN"/>
            </w:rPr>
            <w:t>4</w:t>
          </w:r>
          <w:r>
            <w:rPr>
              <w:rFonts w:hint="eastAsia" w:ascii="黑体" w:hAnsi="黑体" w:eastAsia="黑体" w:cs="黑体"/>
              <w:b w:val="0"/>
              <w:bCs/>
              <w:kern w:val="2"/>
              <w:szCs w:val="32"/>
              <w:lang w:val="en-US" w:eastAsia="zh-CN" w:bidi="ar-SA"/>
            </w:rPr>
            <w:fldChar w:fldCharType="end"/>
          </w:r>
          <w:r>
            <w:rPr>
              <w:rFonts w:hint="eastAsia" w:ascii="黑体" w:hAnsi="黑体" w:eastAsia="黑体" w:cs="黑体"/>
              <w:b w:val="0"/>
              <w:bCs/>
              <w:kern w:val="2"/>
              <w:szCs w:val="32"/>
              <w:lang w:val="en-US" w:eastAsia="zh-CN" w:bidi="ar-SA"/>
            </w:rPr>
            <w:t>2</w:t>
          </w:r>
        </w:p>
        <w:p>
          <w:pPr>
            <w:pStyle w:val="15"/>
            <w:tabs>
              <w:tab w:val="right" w:leader="dot" w:pos="8306"/>
            </w:tabs>
            <w:ind w:firstLine="400" w:firstLineChars="200"/>
            <w:rPr>
              <w:rFonts w:hint="default" w:ascii="仿宋" w:hAnsi="仿宋" w:eastAsia="仿宋" w:cs="仿宋"/>
              <w:b w:val="0"/>
              <w:bCs/>
              <w:lang w:val="en-US"/>
            </w:rPr>
          </w:pPr>
          <w:r>
            <w:rPr>
              <w:rFonts w:hint="eastAsia" w:ascii="仿宋" w:hAnsi="仿宋" w:eastAsia="仿宋" w:cs="仿宋"/>
              <w:b w:val="0"/>
              <w:bCs/>
              <w:kern w:val="2"/>
              <w:szCs w:val="32"/>
              <w:lang w:val="en-US" w:eastAsia="zh-CN" w:bidi="ar-SA"/>
            </w:rPr>
            <w:t>（一）</w:t>
          </w:r>
          <w:r>
            <w:rPr>
              <w:rFonts w:hint="eastAsia" w:ascii="仿宋" w:hAnsi="仿宋" w:eastAsia="仿宋" w:cs="仿宋"/>
              <w:b w:val="0"/>
              <w:bCs/>
              <w:kern w:val="2"/>
              <w:szCs w:val="32"/>
              <w:lang w:val="en-US" w:eastAsia="zh-CN" w:bidi="ar-SA"/>
            </w:rPr>
            <w:fldChar w:fldCharType="begin"/>
          </w:r>
          <w:r>
            <w:rPr>
              <w:rFonts w:hint="eastAsia" w:ascii="仿宋" w:hAnsi="仿宋" w:eastAsia="仿宋" w:cs="仿宋"/>
              <w:b w:val="0"/>
              <w:bCs/>
              <w:kern w:val="2"/>
              <w:szCs w:val="32"/>
              <w:lang w:val="en-US" w:eastAsia="zh-CN" w:bidi="ar-SA"/>
            </w:rPr>
            <w:instrText xml:space="preserve"> HYPERLINK \l _Toc27729 </w:instrText>
          </w:r>
          <w:r>
            <w:rPr>
              <w:rFonts w:hint="eastAsia" w:ascii="仿宋" w:hAnsi="仿宋" w:eastAsia="仿宋" w:cs="仿宋"/>
              <w:b w:val="0"/>
              <w:bCs/>
              <w:kern w:val="2"/>
              <w:szCs w:val="32"/>
              <w:lang w:val="en-US" w:eastAsia="zh-CN" w:bidi="ar-SA"/>
            </w:rPr>
            <w:fldChar w:fldCharType="separate"/>
          </w:r>
          <w:r>
            <w:rPr>
              <w:rFonts w:hint="eastAsia" w:ascii="仿宋" w:hAnsi="仿宋" w:eastAsia="仿宋" w:cs="仿宋"/>
              <w:b w:val="0"/>
              <w:bCs/>
              <w:szCs w:val="32"/>
            </w:rPr>
            <w:t>文峰区（高新区）企业上市辅导奖补政策</w:t>
          </w:r>
          <w:r>
            <w:rPr>
              <w:rFonts w:hint="eastAsia" w:ascii="仿宋" w:hAnsi="仿宋" w:eastAsia="仿宋" w:cs="仿宋"/>
              <w:b w:val="0"/>
              <w:bCs/>
            </w:rPr>
            <w:tab/>
          </w:r>
          <w:r>
            <w:rPr>
              <w:rFonts w:hint="eastAsia" w:ascii="仿宋" w:hAnsi="仿宋" w:eastAsia="仿宋" w:cs="仿宋"/>
              <w:b w:val="0"/>
              <w:bCs/>
              <w:lang w:val="en-US" w:eastAsia="zh-CN"/>
            </w:rPr>
            <w:t>4</w:t>
          </w:r>
          <w:r>
            <w:rPr>
              <w:rFonts w:hint="eastAsia" w:ascii="仿宋" w:hAnsi="仿宋" w:eastAsia="仿宋" w:cs="仿宋"/>
              <w:b w:val="0"/>
              <w:bCs/>
              <w:kern w:val="2"/>
              <w:szCs w:val="32"/>
              <w:lang w:val="en-US" w:eastAsia="zh-CN" w:bidi="ar-SA"/>
            </w:rPr>
            <w:fldChar w:fldCharType="end"/>
          </w:r>
          <w:r>
            <w:rPr>
              <w:rFonts w:hint="eastAsia" w:ascii="仿宋" w:hAnsi="仿宋" w:eastAsia="仿宋" w:cs="仿宋"/>
              <w:b w:val="0"/>
              <w:bCs/>
              <w:kern w:val="2"/>
              <w:szCs w:val="32"/>
              <w:lang w:val="en-US" w:eastAsia="zh-CN" w:bidi="ar-SA"/>
            </w:rPr>
            <w:t>2</w:t>
          </w:r>
        </w:p>
        <w:p>
          <w:pPr>
            <w:keepNext w:val="0"/>
            <w:keepLines w:val="0"/>
            <w:pageBreakBefore w:val="0"/>
            <w:widowControl w:val="0"/>
            <w:tabs>
              <w:tab w:val="left" w:leader="middleDot" w:pos="2310"/>
            </w:tabs>
            <w:kinsoku/>
            <w:wordWrap/>
            <w:overflowPunct/>
            <w:topLinePunct w:val="0"/>
            <w:autoSpaceDE/>
            <w:autoSpaceDN/>
            <w:bidi w:val="0"/>
            <w:adjustRightInd/>
            <w:snapToGrid/>
            <w:textAlignment w:val="auto"/>
            <w:rPr>
              <w:rFonts w:hint="default" w:ascii="黑体" w:hAnsi="黑体" w:eastAsia="黑体" w:cs="黑体"/>
              <w:kern w:val="2"/>
              <w:sz w:val="21"/>
              <w:szCs w:val="32"/>
              <w:lang w:val="en-US" w:eastAsia="zh-CN" w:bidi="ar-SA"/>
            </w:rPr>
          </w:pPr>
          <w:r>
            <w:rPr>
              <w:rFonts w:hint="default" w:ascii="黑体" w:hAnsi="黑体" w:eastAsia="黑体" w:cs="黑体"/>
              <w:b/>
              <w:kern w:val="2"/>
              <w:szCs w:val="32"/>
              <w:lang w:val="en-US" w:eastAsia="zh-CN" w:bidi="ar-SA"/>
            </w:rPr>
            <w:fldChar w:fldCharType="end"/>
          </w:r>
        </w:p>
      </w:sdtContent>
    </w:sdt>
    <w:p>
      <w:pPr>
        <w:pStyle w:val="2"/>
        <w:bidi w:val="0"/>
        <w:jc w:val="center"/>
        <w:outlineLvl w:val="9"/>
        <w:rPr>
          <w:rFonts w:hint="eastAsia" w:ascii="华文中宋" w:hAnsi="华文中宋" w:eastAsia="华文中宋" w:cs="华文中宋"/>
          <w:lang w:val="en-US" w:eastAsia="zh-CN"/>
        </w:rPr>
      </w:pPr>
    </w:p>
    <w:p>
      <w:pPr>
        <w:pStyle w:val="2"/>
        <w:bidi w:val="0"/>
        <w:jc w:val="center"/>
        <w:outlineLvl w:val="9"/>
        <w:rPr>
          <w:rFonts w:hint="eastAsia" w:ascii="华文中宋" w:hAnsi="华文中宋" w:eastAsia="华文中宋" w:cs="华文中宋"/>
          <w:lang w:val="en-US" w:eastAsia="zh-CN"/>
        </w:rPr>
      </w:pPr>
    </w:p>
    <w:p>
      <w:pPr>
        <w:pStyle w:val="2"/>
        <w:bidi w:val="0"/>
        <w:jc w:val="center"/>
        <w:outlineLvl w:val="9"/>
        <w:rPr>
          <w:rFonts w:hint="eastAsia" w:ascii="华文中宋" w:hAnsi="华文中宋" w:eastAsia="华文中宋" w:cs="华文中宋"/>
          <w:lang w:val="en-US" w:eastAsia="zh-CN"/>
        </w:rPr>
      </w:pPr>
    </w:p>
    <w:p>
      <w:pPr>
        <w:pStyle w:val="2"/>
        <w:bidi w:val="0"/>
        <w:jc w:val="center"/>
        <w:outlineLvl w:val="9"/>
        <w:rPr>
          <w:rFonts w:hint="eastAsia" w:ascii="华文中宋" w:hAnsi="华文中宋" w:eastAsia="华文中宋" w:cs="华文中宋"/>
          <w:lang w:val="en-US" w:eastAsia="zh-CN"/>
        </w:rPr>
      </w:pPr>
    </w:p>
    <w:p>
      <w:pPr>
        <w:pStyle w:val="2"/>
        <w:bidi w:val="0"/>
        <w:jc w:val="both"/>
        <w:rPr>
          <w:rFonts w:hint="eastAsia" w:ascii="华文中宋" w:hAnsi="华文中宋" w:eastAsia="华文中宋" w:cs="华文中宋"/>
          <w:lang w:val="en-US" w:eastAsia="zh-CN"/>
        </w:rPr>
      </w:pPr>
      <w:bookmarkStart w:id="1" w:name="_Toc15515"/>
    </w:p>
    <w:p>
      <w:pPr>
        <w:pStyle w:val="2"/>
        <w:bidi w:val="0"/>
        <w:jc w:val="both"/>
        <w:rPr>
          <w:rFonts w:hint="eastAsia" w:ascii="华文中宋" w:hAnsi="华文中宋" w:eastAsia="华文中宋" w:cs="华文中宋"/>
          <w:lang w:val="en-US" w:eastAsia="zh-CN"/>
        </w:rPr>
      </w:pPr>
    </w:p>
    <w:p>
      <w:pPr>
        <w:pStyle w:val="2"/>
        <w:bidi w:val="0"/>
        <w:ind w:firstLine="442" w:firstLineChars="100"/>
        <w:jc w:val="center"/>
        <w:rPr>
          <w:rFonts w:hint="eastAsia" w:ascii="华文中宋" w:hAnsi="华文中宋" w:eastAsia="华文中宋" w:cs="华文中宋"/>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bidi w:val="0"/>
        <w:ind w:firstLine="442" w:firstLineChars="100"/>
        <w:jc w:val="center"/>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创新型企业标准及奖补政策</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 w:hAnsi="仿宋" w:eastAsia="仿宋" w:cs="仿宋"/>
          <w:b/>
          <w:bCs/>
          <w:sz w:val="32"/>
          <w:szCs w:val="32"/>
          <w:vertAlign w:val="baseline"/>
          <w:lang w:val="en-US" w:eastAsia="zh-CN"/>
        </w:rPr>
      </w:pPr>
      <w:bookmarkStart w:id="2" w:name="_Toc18313"/>
      <w:r>
        <w:rPr>
          <w:rFonts w:hint="eastAsia" w:ascii="黑体" w:hAnsi="黑体" w:eastAsia="黑体" w:cs="黑体"/>
          <w:b w:val="0"/>
          <w:bCs w:val="0"/>
          <w:sz w:val="32"/>
          <w:szCs w:val="32"/>
          <w:vertAlign w:val="baseline"/>
          <w:lang w:val="en-US" w:eastAsia="zh-CN"/>
        </w:rPr>
        <w:t>一、科技型中小企业</w:t>
      </w:r>
      <w:bookmarkEnd w:id="2"/>
      <w:r>
        <w:rPr>
          <w:rFonts w:hint="eastAsia" w:ascii="黑体" w:hAnsi="黑体" w:eastAsia="黑体" w:cs="黑体"/>
          <w:b w:val="0"/>
          <w:bCs w:val="0"/>
          <w:sz w:val="32"/>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申请标准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spacing w:val="0"/>
          <w:kern w:val="0"/>
          <w:sz w:val="32"/>
          <w:szCs w:val="32"/>
          <w:u w:val="none"/>
          <w:shd w:val="clear" w:fill="FFFFFF"/>
          <w:lang w:val="en-US" w:eastAsia="zh-CN" w:bidi="ar"/>
        </w:rPr>
      </w:pPr>
      <w:r>
        <w:rPr>
          <w:rFonts w:hint="eastAsia" w:ascii="仿宋" w:hAnsi="仿宋" w:eastAsia="仿宋" w:cs="仿宋"/>
          <w:i w:val="0"/>
          <w:caps w:val="0"/>
          <w:color w:val="000000"/>
          <w:spacing w:val="0"/>
          <w:kern w:val="0"/>
          <w:sz w:val="32"/>
          <w:szCs w:val="32"/>
          <w:u w:val="none"/>
          <w:shd w:val="clear" w:fill="FFFFFF"/>
          <w:lang w:val="en-US" w:eastAsia="zh-CN" w:bidi="ar"/>
        </w:rPr>
        <w:t>（一）在中国境内（不包括港、澳、台地区）注册的居民企业。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 w:hAnsi="仿宋" w:eastAsia="仿宋" w:cs="仿宋"/>
          <w:i w:val="0"/>
          <w:caps w:val="0"/>
          <w:color w:val="000000"/>
          <w:spacing w:val="0"/>
          <w:sz w:val="32"/>
          <w:szCs w:val="32"/>
          <w:u w:val="none"/>
          <w:lang w:val="en-US"/>
        </w:rPr>
      </w:pPr>
      <w:r>
        <w:rPr>
          <w:rFonts w:hint="eastAsia" w:ascii="仿宋" w:hAnsi="仿宋" w:eastAsia="仿宋" w:cs="仿宋"/>
          <w:i w:val="0"/>
          <w:caps w:val="0"/>
          <w:color w:val="000000"/>
          <w:spacing w:val="0"/>
          <w:kern w:val="0"/>
          <w:sz w:val="32"/>
          <w:szCs w:val="32"/>
          <w:u w:val="none"/>
          <w:shd w:val="clear" w:fill="FFFFFF"/>
          <w:lang w:val="en-US" w:eastAsia="zh-CN" w:bidi="ar"/>
        </w:rPr>
        <w:t xml:space="preserve">（二）职工总数不超过500人、年销售收入不超过2亿元、资产总额不超过2亿元。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（三）企业提供的产品和服务不属于国家规定的禁止、限制和淘汰类。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（四）企业在填报上一年及当年内未发生重大安全、重大质量事故和严重环境违法、科研严重失信行为，且企业未列入经营异常名录和严重违法失信企业名单。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（五）企业根据科技型中小企业评价指标进行综合评价所得分值不低于60分，且科技人员指标得分不得为0分。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kern w:val="0"/>
          <w:sz w:val="32"/>
          <w:szCs w:val="32"/>
          <w:u w:val="none"/>
          <w:shd w:val="clear" w:fill="FFFFFF"/>
          <w:lang w:val="en-US" w:eastAsia="zh-CN" w:bidi="ar"/>
        </w:rPr>
      </w:pPr>
      <w:r>
        <w:rPr>
          <w:rFonts w:hint="eastAsia" w:ascii="仿宋" w:hAnsi="仿宋" w:eastAsia="仿宋" w:cs="仿宋"/>
          <w:i w:val="0"/>
          <w:caps w:val="0"/>
          <w:color w:val="000000"/>
          <w:spacing w:val="0"/>
          <w:kern w:val="0"/>
          <w:sz w:val="32"/>
          <w:szCs w:val="32"/>
          <w:u w:val="none"/>
          <w:shd w:val="clear" w:fill="FFFFFF"/>
          <w:lang w:val="en-US" w:eastAsia="zh-CN" w:bidi="ar"/>
        </w:rPr>
        <w:t>（六）符合第1～4项条件的企业，若同时符合下列条件中的一项，则可直接确认符合科技型中小企业条件：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1"/>
        <w:rPr>
          <w:rFonts w:hint="eastAsia" w:ascii="仿宋" w:hAnsi="仿宋" w:eastAsia="仿宋" w:cs="仿宋"/>
          <w:i w:val="0"/>
          <w:caps w:val="0"/>
          <w:color w:val="000000"/>
          <w:spacing w:val="0"/>
          <w:sz w:val="32"/>
          <w:szCs w:val="32"/>
          <w:u w:val="none"/>
        </w:rPr>
      </w:pPr>
      <w:bookmarkStart w:id="3" w:name="_Toc29027"/>
      <w:r>
        <w:rPr>
          <w:rFonts w:hint="eastAsia" w:ascii="仿宋" w:hAnsi="仿宋" w:eastAsia="仿宋" w:cs="仿宋"/>
          <w:i w:val="0"/>
          <w:caps w:val="0"/>
          <w:color w:val="000000"/>
          <w:spacing w:val="0"/>
          <w:kern w:val="0"/>
          <w:sz w:val="32"/>
          <w:szCs w:val="32"/>
          <w:u w:val="none"/>
          <w:shd w:val="clear" w:fill="FFFFFF"/>
          <w:lang w:val="en-US" w:eastAsia="zh-CN" w:bidi="ar"/>
        </w:rPr>
        <w:t>1.企业拥有有效期内高新技术企业资格证书；</w:t>
      </w:r>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000000"/>
          <w:spacing w:val="0"/>
          <w:sz w:val="32"/>
          <w:szCs w:val="32"/>
          <w:u w:val="none"/>
        </w:rPr>
      </w:pPr>
      <w:bookmarkStart w:id="4" w:name="_Toc31257"/>
      <w:r>
        <w:rPr>
          <w:rFonts w:hint="eastAsia" w:ascii="仿宋" w:hAnsi="仿宋" w:eastAsia="仿宋" w:cs="仿宋"/>
          <w:i w:val="0"/>
          <w:caps w:val="0"/>
          <w:color w:val="000000"/>
          <w:spacing w:val="0"/>
          <w:kern w:val="0"/>
          <w:sz w:val="32"/>
          <w:szCs w:val="32"/>
          <w:u w:val="none"/>
          <w:shd w:val="clear" w:fill="FFFFFF"/>
          <w:lang w:val="en-US" w:eastAsia="zh-CN" w:bidi="ar"/>
        </w:rPr>
        <w:t>2.企业近五年内获得过国家级科技奖励；</w:t>
      </w:r>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000000"/>
          <w:spacing w:val="0"/>
          <w:sz w:val="32"/>
          <w:szCs w:val="32"/>
          <w:u w:val="none"/>
        </w:rPr>
      </w:pPr>
      <w:bookmarkStart w:id="5" w:name="_Toc23193"/>
      <w:r>
        <w:rPr>
          <w:rFonts w:hint="eastAsia" w:ascii="仿宋" w:hAnsi="仿宋" w:eastAsia="仿宋" w:cs="仿宋"/>
          <w:i w:val="0"/>
          <w:caps w:val="0"/>
          <w:color w:val="000000"/>
          <w:spacing w:val="0"/>
          <w:kern w:val="0"/>
          <w:sz w:val="32"/>
          <w:szCs w:val="32"/>
          <w:u w:val="none"/>
          <w:shd w:val="clear" w:fill="FFFFFF"/>
          <w:lang w:val="en-US" w:eastAsia="zh-CN" w:bidi="ar"/>
        </w:rPr>
        <w:t>3.企业拥有经认定的省部级以上研发机构；</w:t>
      </w:r>
      <w:bookmarkEnd w:id="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000000"/>
          <w:spacing w:val="0"/>
          <w:kern w:val="0"/>
          <w:sz w:val="32"/>
          <w:szCs w:val="32"/>
          <w:u w:val="none"/>
          <w:shd w:val="clear" w:fill="FFFFFF"/>
          <w:lang w:val="en-US" w:eastAsia="zh-CN" w:bidi="ar"/>
        </w:rPr>
      </w:pPr>
      <w:bookmarkStart w:id="6" w:name="_Toc24802"/>
      <w:r>
        <w:rPr>
          <w:rFonts w:hint="eastAsia" w:ascii="仿宋" w:hAnsi="仿宋" w:eastAsia="仿宋" w:cs="仿宋"/>
          <w:i w:val="0"/>
          <w:caps w:val="0"/>
          <w:color w:val="000000"/>
          <w:spacing w:val="0"/>
          <w:kern w:val="0"/>
          <w:sz w:val="32"/>
          <w:szCs w:val="32"/>
          <w:u w:val="none"/>
          <w:shd w:val="clear" w:fill="FFFFFF"/>
          <w:lang w:val="en-US" w:eastAsia="zh-CN" w:bidi="ar"/>
        </w:rPr>
        <w:t>4.企业近五年内主导制定过国际标准、国家标准或行业标准。</w:t>
      </w:r>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0" w:lineRule="atLeast"/>
        <w:ind w:left="0" w:right="0" w:firstLine="640" w:firstLineChars="200"/>
        <w:jc w:val="both"/>
        <w:textAlignment w:val="auto"/>
        <w:rPr>
          <w:rFonts w:hint="eastAsia" w:ascii="黑体" w:hAnsi="黑体" w:eastAsia="黑体" w:cs="黑体"/>
          <w:b w:val="0"/>
          <w:bCs w:val="0"/>
          <w:sz w:val="32"/>
          <w:szCs w:val="32"/>
          <w:vertAlign w:val="baseline"/>
          <w:lang w:val="en-US" w:eastAsia="zh-CN"/>
        </w:rPr>
      </w:pPr>
    </w:p>
    <w:p>
      <w:pP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0" w:lineRule="atLeast"/>
        <w:ind w:left="0" w:right="0" w:firstLine="640" w:firstLineChars="200"/>
        <w:jc w:val="center"/>
        <w:textAlignment w:val="auto"/>
        <w:rPr>
          <w:rFonts w:hint="eastAsia" w:ascii="黑体" w:hAnsi="黑体" w:eastAsia="黑体" w:cs="黑体"/>
          <w:b w:val="0"/>
          <w:bCs w:val="0"/>
          <w:sz w:val="32"/>
          <w:szCs w:val="32"/>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0" w:lineRule="atLeast"/>
        <w:ind w:left="0" w:right="0" w:firstLine="640" w:firstLineChars="200"/>
        <w:jc w:val="center"/>
        <w:textAlignment w:val="auto"/>
        <w:outlineLvl w:val="1"/>
        <w:rPr>
          <w:rFonts w:hint="eastAsia" w:ascii="黑体" w:hAnsi="黑体" w:eastAsia="黑体" w:cs="黑体"/>
          <w:b w:val="0"/>
          <w:bCs w:val="0"/>
          <w:sz w:val="32"/>
          <w:szCs w:val="32"/>
          <w:vertAlign w:val="baseline"/>
          <w:lang w:val="en-US" w:eastAsia="zh-CN"/>
        </w:rPr>
      </w:pPr>
      <w:bookmarkStart w:id="7" w:name="_Toc20378"/>
      <w:r>
        <w:rPr>
          <w:rFonts w:hint="eastAsia" w:ascii="黑体" w:hAnsi="黑体" w:eastAsia="黑体" w:cs="黑体"/>
          <w:b w:val="0"/>
          <w:bCs w:val="0"/>
          <w:sz w:val="32"/>
          <w:szCs w:val="32"/>
          <w:vertAlign w:val="baseline"/>
          <w:lang w:val="en-US" w:eastAsia="zh-CN"/>
        </w:rPr>
        <w:t>奖补政策</w:t>
      </w:r>
      <w:bookmarkEnd w:id="7"/>
    </w:p>
    <w:tbl>
      <w:tblPr>
        <w:tblStyle w:val="12"/>
        <w:tblpPr w:leftFromText="180" w:rightFromText="180" w:vertAnchor="text" w:horzAnchor="page" w:tblpX="1923" w:tblpY="433"/>
        <w:tblOverlap w:val="never"/>
        <w:tblW w:w="8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3"/>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0" w:type="dxa"/>
            <w:gridSpan w:val="2"/>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3"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市级</w:t>
            </w:r>
          </w:p>
        </w:tc>
        <w:tc>
          <w:tcPr>
            <w:tcW w:w="4087"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083" w:type="dxa"/>
            <w:vMerge w:val="restart"/>
            <w:vAlign w:val="center"/>
          </w:tcPr>
          <w:p>
            <w:pPr>
              <w:numPr>
                <w:ilvl w:val="0"/>
                <w:numId w:val="0"/>
              </w:numPr>
              <w:ind w:firstLine="640" w:firstLineChars="200"/>
              <w:jc w:val="left"/>
              <w:rPr>
                <w:rFonts w:hint="eastAsia" w:ascii="仿宋" w:hAnsi="仿宋" w:eastAsia="仿宋" w:cs="仿宋"/>
                <w:b/>
                <w:bCs/>
                <w:color w:val="auto"/>
                <w:sz w:val="32"/>
                <w:szCs w:val="32"/>
                <w:vertAlign w:val="baseline"/>
                <w:lang w:val="en-US" w:eastAsia="zh-CN"/>
              </w:rPr>
            </w:pPr>
            <w:r>
              <w:rPr>
                <w:rFonts w:hint="eastAsia" w:ascii="仿宋" w:hAnsi="仿宋" w:eastAsia="仿宋" w:cs="仿宋"/>
                <w:b w:val="0"/>
                <w:bCs w:val="0"/>
                <w:color w:val="auto"/>
                <w:kern w:val="2"/>
                <w:sz w:val="32"/>
                <w:szCs w:val="32"/>
                <w:highlight w:val="none"/>
                <w:lang w:val="en-US" w:eastAsia="zh-CN" w:bidi="ar-SA"/>
              </w:rPr>
              <w:t>对于连续三次通过评价入库的科技型中小企业一次性给予最高1万元配套奖励</w:t>
            </w:r>
          </w:p>
        </w:tc>
        <w:tc>
          <w:tcPr>
            <w:tcW w:w="4087" w:type="dxa"/>
            <w:vMerge w:val="restart"/>
            <w:vAlign w:val="center"/>
          </w:tcPr>
          <w:p>
            <w:pPr>
              <w:numPr>
                <w:ilvl w:val="0"/>
                <w:numId w:val="0"/>
              </w:numPr>
              <w:ind w:firstLine="640" w:firstLineChars="200"/>
              <w:jc w:val="left"/>
              <w:rPr>
                <w:rFonts w:hint="eastAsia" w:ascii="仿宋" w:hAnsi="仿宋" w:eastAsia="仿宋" w:cs="仿宋"/>
                <w:b/>
                <w:bCs/>
                <w:color w:val="auto"/>
                <w:sz w:val="32"/>
                <w:szCs w:val="32"/>
                <w:vertAlign w:val="baseline"/>
                <w:lang w:val="en-US" w:eastAsia="zh-CN"/>
              </w:rPr>
            </w:pPr>
            <w:r>
              <w:rPr>
                <w:rFonts w:hint="eastAsia" w:ascii="仿宋" w:hAnsi="仿宋" w:eastAsia="仿宋" w:cs="仿宋"/>
                <w:b w:val="0"/>
                <w:bCs w:val="0"/>
                <w:color w:val="auto"/>
                <w:kern w:val="2"/>
                <w:sz w:val="32"/>
                <w:szCs w:val="32"/>
                <w:highlight w:val="none"/>
                <w:lang w:val="en-US" w:eastAsia="zh-CN" w:bidi="ar-SA"/>
              </w:rPr>
              <w:t>对于连续三次通过评价入库的科技型中小企业一次性给予最高1万元奖励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083" w:type="dxa"/>
            <w:vMerge w:val="continue"/>
            <w:vAlign w:val="center"/>
          </w:tcPr>
          <w:p>
            <w:pPr>
              <w:numPr>
                <w:ilvl w:val="0"/>
                <w:numId w:val="0"/>
              </w:numPr>
              <w:jc w:val="center"/>
              <w:rPr>
                <w:rFonts w:hint="default" w:ascii="宋体" w:hAnsi="宋体" w:eastAsia="宋体" w:cs="宋体"/>
                <w:b/>
                <w:bCs/>
                <w:sz w:val="32"/>
                <w:szCs w:val="32"/>
                <w:vertAlign w:val="baseline"/>
                <w:lang w:val="en-US" w:eastAsia="zh-CN"/>
              </w:rPr>
            </w:pPr>
          </w:p>
        </w:tc>
        <w:tc>
          <w:tcPr>
            <w:tcW w:w="4087" w:type="dxa"/>
            <w:vMerge w:val="continue"/>
            <w:vAlign w:val="center"/>
          </w:tcPr>
          <w:p>
            <w:pPr>
              <w:numPr>
                <w:ilvl w:val="0"/>
                <w:numId w:val="0"/>
              </w:numPr>
              <w:jc w:val="center"/>
              <w:rPr>
                <w:rFonts w:hint="default" w:ascii="宋体" w:hAnsi="宋体" w:eastAsia="宋体" w:cs="宋体"/>
                <w:b/>
                <w:bCs/>
                <w:sz w:val="32"/>
                <w:szCs w:val="32"/>
                <w:vertAlign w:val="baseline"/>
                <w:lang w:val="en-US" w:eastAsia="zh-CN"/>
              </w:rPr>
            </w:pPr>
          </w:p>
        </w:tc>
      </w:tr>
    </w:tbl>
    <w:p>
      <w:pPr>
        <w:numPr>
          <w:ilvl w:val="0"/>
          <w:numId w:val="0"/>
        </w:numP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 xml:space="preserve">    注：市、区两级可以同时享受该政策</w:t>
      </w:r>
    </w:p>
    <w:p>
      <w:pPr>
        <w:numPr>
          <w:ilvl w:val="0"/>
          <w:numId w:val="0"/>
        </w:numPr>
        <w:rPr>
          <w:rFonts w:hint="default" w:ascii="宋体" w:hAnsi="宋体" w:eastAsia="宋体" w:cs="宋体"/>
          <w:b/>
          <w:bCs/>
          <w:sz w:val="32"/>
          <w:szCs w:val="32"/>
          <w:vertAlign w:val="baseline"/>
          <w:lang w:val="en-US" w:eastAsia="zh-CN"/>
        </w:rPr>
      </w:pPr>
    </w:p>
    <w:p>
      <w:pPr>
        <w:numPr>
          <w:ilvl w:val="0"/>
          <w:numId w:val="0"/>
        </w:numPr>
        <w:rPr>
          <w:rFonts w:hint="default" w:ascii="宋体" w:hAnsi="宋体" w:eastAsia="宋体" w:cs="宋体"/>
          <w:b/>
          <w:bCs/>
          <w:sz w:val="32"/>
          <w:szCs w:val="32"/>
          <w:vertAlign w:val="baseline"/>
          <w:lang w:val="en-US" w:eastAsia="zh-CN"/>
        </w:rPr>
      </w:pPr>
    </w:p>
    <w:p>
      <w:pPr>
        <w:numPr>
          <w:ilvl w:val="0"/>
          <w:numId w:val="0"/>
        </w:numPr>
        <w:rPr>
          <w:rFonts w:hint="default" w:ascii="宋体" w:hAnsi="宋体" w:eastAsia="宋体" w:cs="宋体"/>
          <w:b/>
          <w:bCs/>
          <w:sz w:val="32"/>
          <w:szCs w:val="32"/>
          <w:vertAlign w:val="baseline"/>
          <w:lang w:val="en-US" w:eastAsia="zh-CN"/>
        </w:rPr>
      </w:pPr>
    </w:p>
    <w:p>
      <w:pPr>
        <w:numPr>
          <w:ilvl w:val="0"/>
          <w:numId w:val="0"/>
        </w:numPr>
        <w:rPr>
          <w:rFonts w:hint="default" w:ascii="宋体" w:hAnsi="宋体" w:eastAsia="宋体" w:cs="宋体"/>
          <w:b/>
          <w:bCs/>
          <w:sz w:val="32"/>
          <w:szCs w:val="32"/>
          <w:vertAlign w:val="baseline"/>
          <w:lang w:val="en-US" w:eastAsia="zh-CN"/>
        </w:rPr>
      </w:pPr>
    </w:p>
    <w:p>
      <w:pPr>
        <w:numPr>
          <w:ilvl w:val="0"/>
          <w:numId w:val="0"/>
        </w:numPr>
        <w:rPr>
          <w:rFonts w:hint="default" w:ascii="宋体" w:hAnsi="宋体" w:eastAsia="宋体" w:cs="宋体"/>
          <w:b/>
          <w:bCs/>
          <w:sz w:val="32"/>
          <w:szCs w:val="32"/>
          <w:vertAlign w:val="baseline"/>
          <w:lang w:val="en-US" w:eastAsia="zh-CN"/>
        </w:rPr>
      </w:pPr>
    </w:p>
    <w:p>
      <w:pPr>
        <w:numPr>
          <w:ilvl w:val="0"/>
          <w:numId w:val="0"/>
        </w:numPr>
        <w:rPr>
          <w:rFonts w:hint="default" w:ascii="宋体" w:hAnsi="宋体" w:eastAsia="宋体" w:cs="宋体"/>
          <w:b/>
          <w:bCs/>
          <w:sz w:val="32"/>
          <w:szCs w:val="32"/>
          <w:vertAlign w:val="baseline"/>
          <w:lang w:val="en-US" w:eastAsia="zh-CN"/>
        </w:rPr>
      </w:pPr>
    </w:p>
    <w:p>
      <w:pPr>
        <w:numPr>
          <w:ilvl w:val="0"/>
          <w:numId w:val="0"/>
        </w:numPr>
        <w:rPr>
          <w:rFonts w:hint="default" w:ascii="宋体" w:hAnsi="宋体" w:eastAsia="宋体" w:cs="宋体"/>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sz w:val="32"/>
          <w:szCs w:val="32"/>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仿宋" w:hAnsi="仿宋" w:eastAsia="仿宋" w:cs="仿宋"/>
          <w:b w:val="0"/>
          <w:bCs w:val="0"/>
          <w:sz w:val="32"/>
          <w:szCs w:val="32"/>
          <w:vertAlign w:val="baseline"/>
          <w:lang w:val="en-US" w:eastAsia="zh-CN"/>
        </w:rPr>
      </w:pPr>
      <w:bookmarkStart w:id="8" w:name="_Toc21481"/>
      <w:r>
        <w:rPr>
          <w:rFonts w:hint="eastAsia" w:ascii="黑体" w:hAnsi="黑体" w:eastAsia="黑体" w:cs="黑体"/>
          <w:b w:val="0"/>
          <w:bCs w:val="0"/>
          <w:sz w:val="32"/>
          <w:szCs w:val="32"/>
          <w:lang w:val="en-US" w:eastAsia="zh-CN"/>
        </w:rPr>
        <w:t>二、高新技术企业</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申请标准：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（一）企业申请认定时须注册成立时间一年以上；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（二）企业通过自主研发、受让、受赠、并购等方式，获得对其主要产品（服务）在技术上发挥核心支持作用的知识产权的所有权；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（三）对企业主要产品（服务）发挥核心支持作用的技术属于《国家重点支持的高新技术领域》规定的范围；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（四）企业从事研发和相关技术创新活动的科技人员占企业当年职工总数的比例不低于10%；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（五）企业近三个会计年度(实际经营期不满三年的按实际经营实际计算，下同）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1"/>
        <w:rPr>
          <w:rFonts w:hint="eastAsia" w:ascii="仿宋" w:hAnsi="仿宋" w:eastAsia="仿宋" w:cs="仿宋"/>
          <w:b w:val="0"/>
          <w:bCs w:val="0"/>
          <w:sz w:val="32"/>
          <w:szCs w:val="32"/>
          <w:vertAlign w:val="baseline"/>
          <w:lang w:val="en-US" w:eastAsia="zh-CN"/>
        </w:rPr>
      </w:pPr>
      <w:bookmarkStart w:id="9" w:name="_Toc5644"/>
      <w:r>
        <w:rPr>
          <w:rFonts w:hint="eastAsia" w:ascii="仿宋" w:hAnsi="仿宋" w:eastAsia="仿宋" w:cs="仿宋"/>
          <w:b w:val="0"/>
          <w:bCs w:val="0"/>
          <w:sz w:val="32"/>
          <w:szCs w:val="32"/>
          <w:vertAlign w:val="baseline"/>
          <w:lang w:val="en-US" w:eastAsia="zh-CN"/>
        </w:rPr>
        <w:t>1.最近一年销售收入小于5000万元（含）的企业，比例不低于5%；</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1"/>
        <w:rPr>
          <w:rFonts w:hint="eastAsia" w:ascii="仿宋" w:hAnsi="仿宋" w:eastAsia="仿宋" w:cs="仿宋"/>
          <w:b w:val="0"/>
          <w:bCs w:val="0"/>
          <w:sz w:val="32"/>
          <w:szCs w:val="32"/>
          <w:vertAlign w:val="baseline"/>
          <w:lang w:val="en-US" w:eastAsia="zh-CN"/>
        </w:rPr>
      </w:pPr>
      <w:bookmarkStart w:id="10" w:name="_Toc24866"/>
      <w:r>
        <w:rPr>
          <w:rFonts w:hint="eastAsia" w:ascii="仿宋" w:hAnsi="仿宋" w:eastAsia="仿宋" w:cs="仿宋"/>
          <w:b w:val="0"/>
          <w:bCs w:val="0"/>
          <w:sz w:val="32"/>
          <w:szCs w:val="32"/>
          <w:vertAlign w:val="baseline"/>
          <w:lang w:val="en-US" w:eastAsia="zh-CN"/>
        </w:rPr>
        <w:t>2.最近一年销售收入在5000万元至2亿元（含）的企业，比例不低于4%；</w:t>
      </w:r>
      <w:bookmarkEnd w:id="1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1"/>
        <w:rPr>
          <w:rFonts w:hint="eastAsia" w:ascii="仿宋" w:hAnsi="仿宋" w:eastAsia="仿宋" w:cs="仿宋"/>
          <w:b w:val="0"/>
          <w:bCs w:val="0"/>
          <w:sz w:val="32"/>
          <w:szCs w:val="32"/>
          <w:vertAlign w:val="baseline"/>
          <w:lang w:val="en-US" w:eastAsia="zh-CN"/>
        </w:rPr>
      </w:pPr>
      <w:bookmarkStart w:id="11" w:name="_Toc3920"/>
      <w:r>
        <w:rPr>
          <w:rFonts w:hint="eastAsia" w:ascii="仿宋" w:hAnsi="仿宋" w:eastAsia="仿宋" w:cs="仿宋"/>
          <w:b w:val="0"/>
          <w:bCs w:val="0"/>
          <w:sz w:val="32"/>
          <w:szCs w:val="32"/>
          <w:vertAlign w:val="baseline"/>
          <w:lang w:val="en-US" w:eastAsia="zh-CN"/>
        </w:rPr>
        <w:t>3.最近一年销售收入在2亿元以上的企业，比例不低于3%；</w:t>
      </w:r>
      <w:bookmarkEnd w:id="11"/>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其中，企业在中国境内发生的研究开发费用总额占全部研究开发费用总额的比例不低于60%；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（六）近一年高新技术产品（服务）收入占企业同期总收入的比例不低于60%；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（七）企业创新能力评价应达到相应要求；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（八）企业申请认定前一年内未发生重大安全、重大质量事故或严重环境违法行为。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vertAlign w:val="baseline"/>
          <w:lang w:val="en-US" w:eastAsia="zh-CN"/>
        </w:rPr>
      </w:pPr>
    </w:p>
    <w:tbl>
      <w:tblPr>
        <w:tblStyle w:val="12"/>
        <w:tblpPr w:leftFromText="180" w:rightFromText="180" w:vertAnchor="text" w:horzAnchor="page" w:tblpX="1298" w:tblpY="943"/>
        <w:tblOverlap w:val="never"/>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2920"/>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0"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省级</w:t>
            </w:r>
          </w:p>
        </w:tc>
        <w:tc>
          <w:tcPr>
            <w:tcW w:w="2920"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市级</w:t>
            </w:r>
          </w:p>
        </w:tc>
        <w:tc>
          <w:tcPr>
            <w:tcW w:w="2998"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2" w:hRule="atLeast"/>
          <w:jc w:val="center"/>
        </w:trPr>
        <w:tc>
          <w:tcPr>
            <w:tcW w:w="3090" w:type="dxa"/>
            <w:vAlign w:val="top"/>
          </w:tcPr>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1.对连续三年认定的高新技术企业，省财政资金奖励10万元。</w:t>
            </w: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2.迁入我省年度销售收入2亿元以上企业奖励100万元，</w:t>
            </w:r>
            <w:r>
              <w:rPr>
                <w:rFonts w:hint="eastAsia" w:ascii="仿宋" w:hAnsi="仿宋" w:eastAsia="仿宋" w:cs="仿宋"/>
                <w:color w:val="000000"/>
                <w:kern w:val="0"/>
                <w:sz w:val="32"/>
                <w:szCs w:val="32"/>
                <w:lang w:val="en-US" w:eastAsia="zh-CN" w:bidi="ar"/>
              </w:rPr>
              <w:t>销售收入5000万至2亿元(含)的企业奖励50万元,销售收入5000万元(含)以下的企业奖励20万元。</w:t>
            </w:r>
          </w:p>
          <w:p>
            <w:pPr>
              <w:numPr>
                <w:ilvl w:val="0"/>
                <w:numId w:val="0"/>
              </w:numPr>
              <w:jc w:val="both"/>
              <w:rPr>
                <w:rFonts w:hint="eastAsia" w:ascii="仿宋" w:hAnsi="仿宋" w:eastAsia="仿宋" w:cs="仿宋"/>
                <w:b/>
                <w:bCs/>
                <w:sz w:val="32"/>
                <w:szCs w:val="32"/>
                <w:vertAlign w:val="baseline"/>
                <w:lang w:val="en-US" w:eastAsia="zh-CN"/>
              </w:rPr>
            </w:pPr>
          </w:p>
        </w:tc>
        <w:tc>
          <w:tcPr>
            <w:tcW w:w="2920" w:type="dxa"/>
            <w:vAlign w:val="top"/>
          </w:tcPr>
          <w:p>
            <w:pPr>
              <w:numPr>
                <w:ilvl w:val="0"/>
                <w:numId w:val="1"/>
              </w:numPr>
              <w:jc w:val="both"/>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首次认定的高新技术企业，市财政科技资金一次性给予15万元奖励。</w:t>
            </w:r>
          </w:p>
          <w:p>
            <w:pPr>
              <w:numPr>
                <w:ilvl w:val="0"/>
                <w:numId w:val="1"/>
              </w:numPr>
              <w:ind w:left="0" w:leftChars="0" w:firstLine="0" w:firstLineChars="0"/>
              <w:jc w:val="both"/>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再次认定的高新技术企业，市财政科技资金一次性给予5万元奖励。</w:t>
            </w:r>
          </w:p>
          <w:p>
            <w:pPr>
              <w:numPr>
                <w:ilvl w:val="0"/>
                <w:numId w:val="0"/>
              </w:numPr>
              <w:ind w:leftChars="0"/>
              <w:jc w:val="both"/>
              <w:rPr>
                <w:rFonts w:hint="eastAsia" w:ascii="仿宋" w:hAnsi="仿宋" w:eastAsia="仿宋" w:cs="仿宋"/>
                <w:b/>
                <w:bCs/>
                <w:sz w:val="32"/>
                <w:szCs w:val="32"/>
                <w:vertAlign w:val="baseline"/>
                <w:lang w:val="en-US" w:eastAsia="zh-CN"/>
              </w:rPr>
            </w:pPr>
            <w:r>
              <w:rPr>
                <w:rFonts w:hint="eastAsia" w:ascii="仿宋" w:hAnsi="仿宋" w:eastAsia="仿宋" w:cs="仿宋"/>
                <w:b w:val="0"/>
                <w:bCs w:val="0"/>
                <w:color w:val="auto"/>
                <w:kern w:val="2"/>
                <w:sz w:val="32"/>
                <w:szCs w:val="32"/>
                <w:highlight w:val="none"/>
                <w:lang w:val="en-US" w:eastAsia="zh-CN" w:bidi="ar-SA"/>
              </w:rPr>
              <w:t>3.自首次认定起，每连续三次通过认定的高新技术企业，市财政科技资金一次性给予10万元奖励。</w:t>
            </w:r>
          </w:p>
        </w:tc>
        <w:tc>
          <w:tcPr>
            <w:tcW w:w="2998" w:type="dxa"/>
            <w:vAlign w:val="top"/>
          </w:tcPr>
          <w:p>
            <w:pPr>
              <w:numPr>
                <w:ilvl w:val="0"/>
                <w:numId w:val="0"/>
              </w:numPr>
              <w:jc w:val="both"/>
              <w:rPr>
                <w:rFonts w:hint="eastAsia" w:ascii="仿宋" w:hAnsi="仿宋" w:eastAsia="仿宋" w:cs="仿宋"/>
                <w:b/>
                <w:bCs/>
                <w:sz w:val="32"/>
                <w:szCs w:val="32"/>
                <w:vertAlign w:val="baseline"/>
                <w:lang w:val="en-US" w:eastAsia="zh-CN"/>
              </w:rPr>
            </w:pPr>
            <w:r>
              <w:rPr>
                <w:rFonts w:hint="eastAsia" w:ascii="仿宋" w:hAnsi="仿宋" w:eastAsia="仿宋" w:cs="仿宋"/>
                <w:sz w:val="32"/>
                <w:szCs w:val="32"/>
                <w:lang w:val="en-US" w:eastAsia="zh-CN"/>
              </w:rPr>
              <w:t>首次认定高新技术企业实行梯次奖补，其中对销售收入</w:t>
            </w:r>
            <w:r>
              <w:rPr>
                <w:rFonts w:hint="eastAsia" w:ascii="仿宋" w:hAnsi="仿宋" w:eastAsia="仿宋" w:cs="仿宋"/>
                <w:b w:val="0"/>
                <w:bCs w:val="0"/>
                <w:sz w:val="32"/>
                <w:szCs w:val="32"/>
                <w:lang w:val="en-US" w:eastAsia="zh-CN"/>
              </w:rPr>
              <w:t>1000</w:t>
            </w:r>
            <w:r>
              <w:rPr>
                <w:rFonts w:hint="eastAsia" w:ascii="仿宋" w:hAnsi="仿宋" w:eastAsia="仿宋" w:cs="仿宋"/>
                <w:sz w:val="32"/>
                <w:szCs w:val="32"/>
                <w:lang w:val="en-US" w:eastAsia="zh-CN"/>
              </w:rPr>
              <w:t>万元（含）以上的企业区级给予</w:t>
            </w:r>
            <w:r>
              <w:rPr>
                <w:rFonts w:hint="eastAsia" w:ascii="仿宋" w:hAnsi="仿宋" w:eastAsia="仿宋" w:cs="仿宋"/>
                <w:b w:val="0"/>
                <w:bCs w:val="0"/>
                <w:sz w:val="32"/>
                <w:szCs w:val="32"/>
                <w:lang w:val="en-US" w:eastAsia="zh-CN"/>
              </w:rPr>
              <w:t>30万元的奖补，对销售收入200万元（含）至1000万元的企业区级给予20万元的奖补，对销售收入200万元以下的企业区级给予15万元的奖</w:t>
            </w:r>
            <w:r>
              <w:rPr>
                <w:rFonts w:hint="eastAsia" w:ascii="仿宋" w:hAnsi="仿宋" w:eastAsia="仿宋" w:cs="仿宋"/>
                <w:sz w:val="32"/>
                <w:szCs w:val="32"/>
                <w:lang w:val="en-US" w:eastAsia="zh-CN"/>
              </w:rPr>
              <w:t>补。</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outlineLvl w:val="1"/>
        <w:rPr>
          <w:rFonts w:hint="eastAsia" w:ascii="黑体" w:hAnsi="黑体" w:eastAsia="黑体" w:cs="黑体"/>
          <w:b w:val="0"/>
          <w:bCs w:val="0"/>
          <w:sz w:val="32"/>
          <w:szCs w:val="32"/>
          <w:vertAlign w:val="baseline"/>
          <w:lang w:val="en-US" w:eastAsia="zh-CN"/>
        </w:rPr>
      </w:pPr>
      <w:bookmarkStart w:id="12" w:name="_Toc19111"/>
      <w:r>
        <w:rPr>
          <w:rFonts w:hint="eastAsia" w:ascii="黑体" w:hAnsi="黑体" w:eastAsia="黑体" w:cs="黑体"/>
          <w:b w:val="0"/>
          <w:bCs w:val="0"/>
          <w:sz w:val="32"/>
          <w:szCs w:val="32"/>
          <w:vertAlign w:val="baseline"/>
          <w:lang w:val="en-US" w:eastAsia="zh-CN"/>
        </w:rPr>
        <w:t>奖补政策</w:t>
      </w:r>
      <w:bookmarkEnd w:id="12"/>
    </w:p>
    <w:p>
      <w:pPr>
        <w:numPr>
          <w:ilvl w:val="0"/>
          <w:numId w:val="0"/>
        </w:numPr>
        <w:rPr>
          <w:rFonts w:hint="eastAsia" w:ascii="宋体" w:hAnsi="宋体" w:eastAsia="宋体" w:cs="宋体"/>
          <w:b/>
          <w:bCs/>
          <w:sz w:val="28"/>
          <w:szCs w:val="28"/>
          <w:vertAlign w:val="baseline"/>
          <w:lang w:val="en-US" w:eastAsia="zh-CN"/>
        </w:rPr>
      </w:pPr>
    </w:p>
    <w:p>
      <w:pPr>
        <w:numPr>
          <w:ilvl w:val="0"/>
          <w:numId w:val="0"/>
        </w:numPr>
        <w:rPr>
          <w:rFonts w:hint="eastAsia" w:ascii="宋体" w:hAnsi="宋体" w:eastAsia="宋体" w:cs="宋体"/>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 xml:space="preserve"> </w:t>
      </w:r>
      <w:bookmarkStart w:id="13" w:name="_Toc10860"/>
      <w:r>
        <w:rPr>
          <w:rFonts w:hint="eastAsia" w:ascii="黑体" w:hAnsi="黑体" w:eastAsia="黑体" w:cs="黑体"/>
          <w:b w:val="0"/>
          <w:bCs w:val="0"/>
          <w:sz w:val="32"/>
          <w:szCs w:val="32"/>
          <w:vertAlign w:val="baseline"/>
          <w:lang w:val="en-US" w:eastAsia="zh-CN"/>
        </w:rPr>
        <w:t>三</w:t>
      </w: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vertAlign w:val="baseline"/>
          <w:lang w:val="en-US" w:eastAsia="zh-CN"/>
        </w:rPr>
        <w:t>河南省“瞪羚”企业（科技小巨人企业）</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 xml:space="preserve">申请标准：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有效期内国家高新技术企业；</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注册时间3年（含）以上15年以下；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按照规定完成上年度研发费用加计扣除申报，已享受研发费用加计扣除政策；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上年度销售收入原则上为5000万元（含）以上；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上年度研发投入占销售收入比例不低于3%；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从事研发和相关技术创新活动的科技人员占企业职工总数比例不低于10%；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建有省级（含）以上研发平台；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拥有有效期内2项（含）以上I类知识产权或4项（含）以上知识产权；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（九）</w:t>
      </w:r>
      <w:r>
        <w:rPr>
          <w:rFonts w:hint="eastAsia" w:ascii="仿宋" w:hAnsi="仿宋" w:eastAsia="仿宋" w:cs="仿宋"/>
          <w:color w:val="000000" w:themeColor="text1"/>
          <w:sz w:val="32"/>
          <w:szCs w:val="32"/>
          <w14:textFill>
            <w14:solidFill>
              <w14:schemeClr w14:val="tx1"/>
            </w14:solidFill>
          </w14:textFill>
        </w:rPr>
        <w:t>具有较好的成长性，近两年销售收入或利润总额复合增长率不低于15%；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（十）</w:t>
      </w:r>
      <w:r>
        <w:rPr>
          <w:rFonts w:hint="eastAsia" w:ascii="仿宋" w:hAnsi="仿宋" w:eastAsia="仿宋" w:cs="仿宋"/>
          <w:color w:val="000000" w:themeColor="text1"/>
          <w:sz w:val="32"/>
          <w:szCs w:val="32"/>
          <w14:textFill>
            <w14:solidFill>
              <w14:schemeClr w14:val="tx1"/>
            </w14:solidFill>
          </w14:textFill>
        </w:rPr>
        <w:t>申报当年及上一年未发生重大安全、重大质量事故或严重环境违法等不良行为，未列入社会信用黑名单。</w:t>
      </w:r>
    </w:p>
    <w:p>
      <w:pPr>
        <w:widowControl w:val="0"/>
        <w:spacing w:line="600" w:lineRule="exact"/>
        <w:ind w:firstLine="643" w:firstLineChars="200"/>
        <w:jc w:val="both"/>
        <w:outlineLvl w:val="1"/>
        <w:rPr>
          <w:rFonts w:hint="eastAsia" w:ascii="仿宋" w:hAnsi="仿宋" w:eastAsia="仿宋" w:cs="仿宋"/>
          <w:b/>
          <w:bCs/>
          <w:color w:val="000000" w:themeColor="text1"/>
          <w:sz w:val="32"/>
          <w:szCs w:val="32"/>
          <w14:textFill>
            <w14:solidFill>
              <w14:schemeClr w14:val="tx1"/>
            </w14:solidFill>
          </w14:textFill>
        </w:rPr>
      </w:pPr>
      <w:bookmarkStart w:id="14" w:name="_Toc27503"/>
      <w:r>
        <w:rPr>
          <w:rFonts w:hint="eastAsia" w:ascii="仿宋" w:hAnsi="仿宋" w:eastAsia="仿宋" w:cs="仿宋"/>
          <w:b/>
          <w:bCs/>
          <w:color w:val="000000" w:themeColor="text1"/>
          <w:sz w:val="32"/>
          <w:szCs w:val="32"/>
          <w14:textFill>
            <w14:solidFill>
              <w14:schemeClr w14:val="tx1"/>
            </w14:solidFill>
          </w14:textFill>
        </w:rPr>
        <w:t>具有以下情形的，予以加分：</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上年度销售收入5000万元（含）-1亿元的，研发投入占销售收入比例达到5%（含）以上；销售收入1亿元（含）-3亿元的，研发投入占销售收入比例达到4%（含）以上；销售收入3亿（含）以上的，研发投入占销售收入比例达到3.5%（含）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近三年内获得国家级科技奖励或牵头获得省级科技奖励；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近三年内主导或参与制定国际标准、国家标准或行业标准；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近三年内参与国家级科技计划项目（课题）、重点工程项目等或牵头实施省级重大科技专项、重点工程项目等；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在主板、中小板、创业板、科创板或境外资本市场上市；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近三年内在中国创新创业大赛</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国家</w:t>
      </w:r>
      <w:r>
        <w:rPr>
          <w:rFonts w:hint="eastAsia" w:ascii="仿宋" w:hAnsi="仿宋" w:eastAsia="仿宋" w:cs="仿宋"/>
          <w:color w:val="000000" w:themeColor="text1"/>
          <w:sz w:val="32"/>
          <w:szCs w:val="32"/>
          <w:lang w:eastAsia="zh-CN"/>
          <w14:textFill>
            <w14:solidFill>
              <w14:schemeClr w14:val="tx1"/>
            </w14:solidFill>
          </w14:textFill>
        </w:rPr>
        <w:t>或</w:t>
      </w:r>
      <w:r>
        <w:rPr>
          <w:rFonts w:hint="eastAsia" w:ascii="仿宋" w:hAnsi="仿宋" w:eastAsia="仿宋" w:cs="仿宋"/>
          <w:color w:val="000000" w:themeColor="text1"/>
          <w:sz w:val="32"/>
          <w:szCs w:val="32"/>
          <w14:textFill>
            <w14:solidFill>
              <w14:schemeClr w14:val="tx1"/>
            </w14:solidFill>
          </w14:textFill>
        </w:rPr>
        <w:t>省级创新创业赛</w:t>
      </w:r>
      <w:r>
        <w:rPr>
          <w:rFonts w:hint="eastAsia" w:ascii="仿宋" w:hAnsi="仿宋" w:eastAsia="仿宋" w:cs="仿宋"/>
          <w:color w:val="000000" w:themeColor="text1"/>
          <w:sz w:val="32"/>
          <w:szCs w:val="32"/>
          <w:lang w:eastAsia="zh-CN"/>
          <w14:textFill>
            <w14:solidFill>
              <w14:schemeClr w14:val="tx1"/>
            </w14:solidFill>
          </w14:textFill>
        </w:rPr>
        <w:t>事</w:t>
      </w:r>
      <w:r>
        <w:rPr>
          <w:rFonts w:hint="eastAsia" w:ascii="仿宋" w:hAnsi="仿宋" w:eastAsia="仿宋" w:cs="仿宋"/>
          <w:color w:val="000000" w:themeColor="text1"/>
          <w:sz w:val="32"/>
          <w:szCs w:val="32"/>
          <w14:textFill>
            <w14:solidFill>
              <w14:schemeClr w14:val="tx1"/>
            </w14:solidFill>
          </w14:textFill>
        </w:rPr>
        <w:t>中获奖</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近三年</w:t>
      </w:r>
      <w:r>
        <w:rPr>
          <w:rFonts w:hint="eastAsia" w:ascii="仿宋" w:hAnsi="仿宋" w:eastAsia="仿宋" w:cs="仿宋"/>
          <w:color w:val="000000" w:themeColor="text1"/>
          <w:sz w:val="32"/>
          <w:szCs w:val="32"/>
          <w:lang w:eastAsia="zh-CN"/>
          <w14:textFill>
            <w14:solidFill>
              <w14:schemeClr w14:val="tx1"/>
            </w14:solidFill>
          </w14:textFill>
        </w:rPr>
        <w:t>内</w:t>
      </w:r>
      <w:r>
        <w:rPr>
          <w:rFonts w:hint="eastAsia" w:ascii="仿宋" w:hAnsi="仿宋" w:eastAsia="仿宋" w:cs="仿宋"/>
          <w:color w:val="000000" w:themeColor="text1"/>
          <w:sz w:val="32"/>
          <w:szCs w:val="32"/>
          <w14:textFill>
            <w14:solidFill>
              <w14:schemeClr w14:val="tx1"/>
            </w14:solidFill>
          </w14:textFill>
        </w:rPr>
        <w:t>企业一次性获得风险投资500万元（含）以上（或等值外币）。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outlineLvl w:val="1"/>
        <w:rPr>
          <w:rFonts w:hint="eastAsia" w:ascii="黑体" w:hAnsi="黑体" w:eastAsia="黑体" w:cs="黑体"/>
          <w:b w:val="0"/>
          <w:bCs w:val="0"/>
          <w:sz w:val="32"/>
          <w:szCs w:val="32"/>
          <w:vertAlign w:val="baseline"/>
          <w:lang w:val="en-US" w:eastAsia="zh-CN"/>
        </w:rPr>
      </w:pPr>
      <w:bookmarkStart w:id="15" w:name="_Toc1631"/>
      <w:r>
        <w:rPr>
          <w:rFonts w:hint="eastAsia" w:ascii="黑体" w:hAnsi="黑体" w:eastAsia="黑体" w:cs="黑体"/>
          <w:b w:val="0"/>
          <w:bCs w:val="0"/>
          <w:sz w:val="32"/>
          <w:szCs w:val="32"/>
          <w:vertAlign w:val="baseline"/>
          <w:lang w:val="en-US" w:eastAsia="zh-CN"/>
        </w:rPr>
        <w:t>奖补政策</w:t>
      </w:r>
      <w:bookmarkEnd w:id="15"/>
    </w:p>
    <w:tbl>
      <w:tblPr>
        <w:tblStyle w:val="12"/>
        <w:tblpPr w:leftFromText="180" w:rightFromText="180" w:vertAnchor="text" w:horzAnchor="page" w:tblpX="2218" w:tblpY="187"/>
        <w:tblOverlap w:val="never"/>
        <w:tblW w:w="7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92" w:type="dxa"/>
            <w:gridSpan w:val="2"/>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977"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市级</w:t>
            </w:r>
          </w:p>
        </w:tc>
        <w:tc>
          <w:tcPr>
            <w:tcW w:w="3015"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77" w:type="dxa"/>
            <w:vMerge w:val="restart"/>
            <w:vAlign w:val="center"/>
          </w:tcPr>
          <w:p>
            <w:pPr>
              <w:numPr>
                <w:ilvl w:val="0"/>
                <w:numId w:val="0"/>
              </w:num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30</w:t>
            </w:r>
          </w:p>
        </w:tc>
        <w:tc>
          <w:tcPr>
            <w:tcW w:w="3015" w:type="dxa"/>
            <w:vMerge w:val="restart"/>
            <w:vAlign w:val="center"/>
          </w:tcPr>
          <w:p>
            <w:pPr>
              <w:numPr>
                <w:ilvl w:val="0"/>
                <w:numId w:val="0"/>
              </w:num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977" w:type="dxa"/>
            <w:vMerge w:val="continue"/>
            <w:vAlign w:val="center"/>
          </w:tcPr>
          <w:p>
            <w:pPr>
              <w:numPr>
                <w:ilvl w:val="0"/>
                <w:numId w:val="0"/>
              </w:numPr>
              <w:jc w:val="center"/>
              <w:rPr>
                <w:rFonts w:hint="default" w:ascii="宋体" w:hAnsi="宋体" w:eastAsia="宋体" w:cs="宋体"/>
                <w:b w:val="0"/>
                <w:bCs w:val="0"/>
                <w:sz w:val="32"/>
                <w:szCs w:val="32"/>
                <w:vertAlign w:val="baseline"/>
                <w:lang w:val="en-US" w:eastAsia="zh-CN"/>
              </w:rPr>
            </w:pPr>
          </w:p>
        </w:tc>
        <w:tc>
          <w:tcPr>
            <w:tcW w:w="3015" w:type="dxa"/>
            <w:vMerge w:val="continue"/>
            <w:vAlign w:val="center"/>
          </w:tcPr>
          <w:p>
            <w:pPr>
              <w:numPr>
                <w:ilvl w:val="0"/>
                <w:numId w:val="0"/>
              </w:numPr>
              <w:jc w:val="center"/>
              <w:rPr>
                <w:rFonts w:hint="default" w:ascii="宋体" w:hAnsi="宋体" w:eastAsia="宋体" w:cs="宋体"/>
                <w:b w:val="0"/>
                <w:bCs w:val="0"/>
                <w:sz w:val="32"/>
                <w:szCs w:val="32"/>
                <w:vertAlign w:val="baseline"/>
                <w:lang w:val="en-US" w:eastAsia="zh-CN"/>
              </w:rPr>
            </w:pPr>
          </w:p>
        </w:tc>
      </w:tr>
    </w:tbl>
    <w:p>
      <w:pPr>
        <w:tabs>
          <w:tab w:val="left" w:pos="2211"/>
        </w:tabs>
        <w:bidi w:val="0"/>
        <w:jc w:val="left"/>
        <w:rPr>
          <w:rFonts w:hint="eastAsia" w:ascii="宋体" w:hAnsi="宋体" w:eastAsia="宋体" w:cs="宋体"/>
          <w:sz w:val="28"/>
          <w:szCs w:val="28"/>
          <w:lang w:val="en-US" w:eastAsia="zh-CN"/>
        </w:rPr>
      </w:pPr>
    </w:p>
    <w:p>
      <w:pPr>
        <w:tabs>
          <w:tab w:val="left" w:pos="2211"/>
        </w:tabs>
        <w:bidi w:val="0"/>
        <w:jc w:val="left"/>
        <w:rPr>
          <w:rFonts w:hint="eastAsia" w:ascii="宋体" w:hAnsi="宋体" w:eastAsia="宋体" w:cs="宋体"/>
          <w:sz w:val="28"/>
          <w:szCs w:val="28"/>
          <w:lang w:val="en-US" w:eastAsia="zh-CN"/>
        </w:rPr>
      </w:pPr>
    </w:p>
    <w:p>
      <w:pPr>
        <w:tabs>
          <w:tab w:val="left" w:pos="2211"/>
        </w:tabs>
        <w:bidi w:val="0"/>
        <w:jc w:val="left"/>
        <w:rPr>
          <w:rFonts w:hint="eastAsia" w:ascii="宋体" w:hAnsi="宋体" w:eastAsia="宋体" w:cs="宋体"/>
          <w:sz w:val="28"/>
          <w:szCs w:val="28"/>
          <w:lang w:val="en-US" w:eastAsia="zh-CN"/>
        </w:rPr>
      </w:pPr>
    </w:p>
    <w:p>
      <w:pPr>
        <w:jc w:val="both"/>
        <w:rPr>
          <w:rFonts w:hint="eastAsia" w:ascii="宋体" w:hAnsi="宋体" w:eastAsia="宋体" w:cs="宋体"/>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0"/>
        <w:rPr>
          <w:rFonts w:hint="eastAsia" w:ascii="黑体" w:hAnsi="黑体" w:eastAsia="黑体" w:cs="黑体"/>
          <w:b w:val="0"/>
          <w:bCs w:val="0"/>
          <w:color w:val="auto"/>
          <w:sz w:val="32"/>
          <w:szCs w:val="32"/>
          <w:vertAlign w:val="baseline"/>
          <w:lang w:val="en-US" w:eastAsia="zh-CN"/>
        </w:rPr>
      </w:pPr>
      <w:bookmarkStart w:id="16" w:name="_Toc24280"/>
      <w:r>
        <w:rPr>
          <w:rFonts w:hint="eastAsia" w:ascii="黑体" w:hAnsi="黑体" w:eastAsia="黑体" w:cs="黑体"/>
          <w:b w:val="0"/>
          <w:bCs w:val="0"/>
          <w:color w:val="auto"/>
          <w:sz w:val="32"/>
          <w:szCs w:val="32"/>
          <w:lang w:eastAsia="zh-CN"/>
        </w:rPr>
        <w:t>四、（科技部）国家高新区</w:t>
      </w:r>
      <w:r>
        <w:rPr>
          <w:rFonts w:hint="eastAsia" w:ascii="黑体" w:hAnsi="黑体" w:eastAsia="黑体" w:cs="黑体"/>
          <w:b w:val="0"/>
          <w:bCs w:val="0"/>
          <w:color w:val="auto"/>
          <w:sz w:val="32"/>
          <w:szCs w:val="32"/>
        </w:rPr>
        <w:t>“瞪羚”企业</w:t>
      </w:r>
      <w:bookmarkEnd w:id="16"/>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申请标准：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1"/>
        <w:rPr>
          <w:rFonts w:hint="eastAsia" w:ascii="仿宋" w:hAnsi="仿宋" w:eastAsia="仿宋" w:cs="仿宋"/>
          <w:i w:val="0"/>
          <w:caps w:val="0"/>
          <w:color w:val="auto"/>
          <w:spacing w:val="0"/>
          <w:sz w:val="32"/>
          <w:szCs w:val="32"/>
          <w:shd w:val="clear" w:color="auto" w:fill="auto"/>
          <w:lang w:eastAsia="zh-CN"/>
        </w:rPr>
      </w:pPr>
      <w:bookmarkStart w:id="17" w:name="_Toc20477"/>
      <w:r>
        <w:rPr>
          <w:rFonts w:hint="eastAsia" w:ascii="仿宋" w:hAnsi="仿宋" w:eastAsia="仿宋" w:cs="仿宋"/>
          <w:i w:val="0"/>
          <w:caps w:val="0"/>
          <w:color w:val="auto"/>
          <w:spacing w:val="0"/>
          <w:sz w:val="32"/>
          <w:szCs w:val="32"/>
          <w:shd w:val="clear" w:color="auto" w:fill="auto"/>
          <w:lang w:eastAsia="zh-CN"/>
        </w:rPr>
        <w:t>定量提取指标</w:t>
      </w:r>
      <w:bookmarkEnd w:id="1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1.企业成立时间距基期年不超过10年，基期年营业收入1000万元及以上，最近三年营业收入复合增长率不低于20%，且最后一个年度正增长；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2.企业成立时间距基期年不超过10年，基期年雇员人数100人及以上，最近三年雇员人数复合增长率不低于30%，且最后一个年度正增长；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3.企业注册年限不超过5年，最后一年度营业收入不低于5亿元且正增长；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4.企业注册年限不超过10年，最近一年度营业收入不低于10亿元且正增长。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1"/>
        <w:rPr>
          <w:rFonts w:hint="eastAsia" w:ascii="仿宋" w:hAnsi="仿宋" w:eastAsia="仿宋" w:cs="仿宋"/>
          <w:i w:val="0"/>
          <w:caps w:val="0"/>
          <w:color w:val="auto"/>
          <w:spacing w:val="0"/>
          <w:sz w:val="32"/>
          <w:szCs w:val="32"/>
          <w:shd w:val="clear" w:color="auto" w:fill="auto"/>
          <w:lang w:val="en-US" w:eastAsia="zh-CN"/>
        </w:rPr>
      </w:pPr>
      <w:bookmarkStart w:id="18" w:name="_Toc27023"/>
      <w:r>
        <w:rPr>
          <w:rFonts w:hint="eastAsia" w:ascii="仿宋" w:hAnsi="仿宋" w:eastAsia="仿宋" w:cs="仿宋"/>
          <w:i w:val="0"/>
          <w:caps w:val="0"/>
          <w:color w:val="auto"/>
          <w:spacing w:val="0"/>
          <w:sz w:val="32"/>
          <w:szCs w:val="32"/>
          <w:shd w:val="clear" w:color="auto" w:fill="auto"/>
          <w:lang w:val="en-US" w:eastAsia="zh-CN"/>
        </w:rPr>
        <w:t>（二）定性筛查指标</w:t>
      </w:r>
      <w:bookmarkEnd w:id="18"/>
    </w:p>
    <w:p>
      <w:pPr>
        <w:numPr>
          <w:ilvl w:val="0"/>
          <w:numId w:val="0"/>
        </w:numPr>
        <w:ind w:leftChars="0" w:firstLine="640" w:firstLineChars="200"/>
        <w:jc w:val="both"/>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行业性质：非烟草、铁路、矿产资源、公共服务等垄断性行业企业，以及房地产、基础建设、银行等行业；</w:t>
      </w:r>
    </w:p>
    <w:p>
      <w:pPr>
        <w:numPr>
          <w:ilvl w:val="0"/>
          <w:numId w:val="0"/>
        </w:numPr>
        <w:ind w:leftChars="0" w:firstLine="640" w:firstLineChars="200"/>
        <w:jc w:val="both"/>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企业性质：非大型央企、外企生产基地、分公司、销售公司、贸易公司。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1"/>
        <w:rPr>
          <w:rFonts w:hint="eastAsia" w:ascii="仿宋" w:hAnsi="仿宋" w:eastAsia="仿宋" w:cs="仿宋"/>
          <w:i w:val="0"/>
          <w:caps w:val="0"/>
          <w:color w:val="auto"/>
          <w:spacing w:val="0"/>
          <w:sz w:val="32"/>
          <w:szCs w:val="32"/>
          <w:shd w:val="clear" w:color="auto" w:fill="auto"/>
          <w:lang w:val="en-US" w:eastAsia="zh-CN"/>
        </w:rPr>
      </w:pPr>
      <w:bookmarkStart w:id="19" w:name="_Toc32710"/>
      <w:r>
        <w:rPr>
          <w:rFonts w:hint="eastAsia" w:ascii="仿宋" w:hAnsi="仿宋" w:eastAsia="仿宋" w:cs="仿宋"/>
          <w:i w:val="0"/>
          <w:caps w:val="0"/>
          <w:color w:val="auto"/>
          <w:spacing w:val="0"/>
          <w:sz w:val="32"/>
          <w:szCs w:val="32"/>
          <w:shd w:val="clear" w:color="auto" w:fill="auto"/>
          <w:lang w:val="en-US" w:eastAsia="zh-CN"/>
        </w:rPr>
        <w:t>（三）创新门槛指标</w:t>
      </w:r>
      <w:bookmarkEnd w:id="19"/>
    </w:p>
    <w:p>
      <w:pPr>
        <w:numPr>
          <w:ilvl w:val="0"/>
          <w:numId w:val="0"/>
        </w:numPr>
        <w:ind w:firstLine="640" w:firstLineChars="200"/>
        <w:jc w:val="both"/>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i w:val="0"/>
          <w:caps w:val="0"/>
          <w:color w:val="auto"/>
          <w:spacing w:val="0"/>
          <w:sz w:val="32"/>
          <w:szCs w:val="32"/>
          <w:shd w:val="clear" w:color="auto" w:fill="auto"/>
          <w:lang w:val="en-US" w:eastAsia="zh-CN"/>
        </w:rPr>
        <w:t>近四年科技活动投入强度（即科技活动投入经费占营业收入的比例）不低于2.5%。</w:t>
      </w:r>
      <w:r>
        <w:rPr>
          <w:rFonts w:hint="eastAsia" w:ascii="仿宋" w:hAnsi="仿宋" w:eastAsia="仿宋" w:cs="仿宋"/>
          <w:b w:val="0"/>
          <w:bCs w:val="0"/>
          <w:color w:val="auto"/>
          <w:sz w:val="32"/>
          <w:szCs w:val="32"/>
          <w:vertAlign w:val="baseline"/>
          <w:lang w:val="en-US" w:eastAsia="zh-CN"/>
        </w:rPr>
        <w:t xml:space="preserve"> </w:t>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b w:val="0"/>
          <w:bCs w:val="0"/>
          <w:sz w:val="32"/>
          <w:szCs w:val="32"/>
          <w:vertAlign w:val="baseline"/>
          <w:lang w:val="en-US" w:eastAsia="zh-CN"/>
        </w:rPr>
      </w:pPr>
      <w:bookmarkStart w:id="20" w:name="_Toc22160"/>
      <w:r>
        <w:rPr>
          <w:rFonts w:hint="eastAsia" w:ascii="黑体" w:hAnsi="黑体" w:eastAsia="黑体" w:cs="黑体"/>
          <w:b w:val="0"/>
          <w:bCs w:val="0"/>
          <w:sz w:val="32"/>
          <w:szCs w:val="32"/>
          <w:vertAlign w:val="baseline"/>
          <w:lang w:val="en-US" w:eastAsia="zh-CN"/>
        </w:rPr>
        <w:t>五、河南省创新龙头企业</w:t>
      </w:r>
      <w:bookmarkEnd w:id="2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申请标准：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sz w:val="32"/>
          <w:szCs w:val="32"/>
          <w:vertAlign w:val="baseline"/>
          <w:lang w:val="en-US" w:eastAsia="zh-CN"/>
        </w:rPr>
        <w:t>（一）</w:t>
      </w:r>
      <w:r>
        <w:rPr>
          <w:rFonts w:hint="eastAsia" w:ascii="仿宋" w:hAnsi="仿宋" w:eastAsia="仿宋" w:cs="仿宋"/>
          <w:color w:val="000000" w:themeColor="text1"/>
          <w:sz w:val="32"/>
          <w:szCs w:val="32"/>
          <w14:textFill>
            <w14:solidFill>
              <w14:schemeClr w14:val="tx1"/>
            </w14:solidFill>
          </w14:textFill>
        </w:rPr>
        <w:t>一般应为有效期内国家高新技术企业；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具有显著的行业引领带动能力。属单项冠军企业（含培育）、单项冠军产品生产企业或主导产品市场占有率位居全国同行业（细分）前列。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按照规定完成上年度研发费用加计扣除申报，已享受研发费用加计扣除政策；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上年度销售收入原则上不低于3亿元；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上年度研发投入占销售收入比例不低于3%；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从事研发和相关技术创新活动的科技人员占职工总数比例不低于10%；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建有省级（含）以上研发平台；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拥有有效期内3项（含）以上I类知识产权或6项（含）以上知识产权；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（九）</w:t>
      </w:r>
      <w:r>
        <w:rPr>
          <w:rFonts w:hint="eastAsia" w:ascii="仿宋" w:hAnsi="仿宋" w:eastAsia="仿宋" w:cs="仿宋"/>
          <w:color w:val="000000" w:themeColor="text1"/>
          <w:sz w:val="32"/>
          <w:szCs w:val="32"/>
          <w14:textFill>
            <w14:solidFill>
              <w14:schemeClr w14:val="tx1"/>
            </w14:solidFill>
          </w14:textFill>
        </w:rPr>
        <w:t>申报当年及上一年未发生重大安全、重大质量事故或严重环境违法等不良行为，未列入社会信用黑名单。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1"/>
        <w:rPr>
          <w:rFonts w:hint="eastAsia" w:ascii="仿宋" w:hAnsi="仿宋" w:eastAsia="仿宋" w:cs="仿宋"/>
          <w:b/>
          <w:bCs/>
          <w:color w:val="000000" w:themeColor="text1"/>
          <w:sz w:val="32"/>
          <w:szCs w:val="32"/>
          <w14:textFill>
            <w14:solidFill>
              <w14:schemeClr w14:val="tx1"/>
            </w14:solidFill>
          </w14:textFill>
        </w:rPr>
      </w:pPr>
      <w:bookmarkStart w:id="21" w:name="_Toc32594"/>
      <w:r>
        <w:rPr>
          <w:rFonts w:hint="eastAsia" w:ascii="仿宋" w:hAnsi="仿宋" w:eastAsia="仿宋" w:cs="仿宋"/>
          <w:b/>
          <w:bCs/>
          <w:color w:val="000000" w:themeColor="text1"/>
          <w:sz w:val="32"/>
          <w:szCs w:val="32"/>
          <w14:textFill>
            <w14:solidFill>
              <w14:schemeClr w14:val="tx1"/>
            </w14:solidFill>
          </w14:textFill>
        </w:rPr>
        <w:t>具有以下情形的，予以加分：</w:t>
      </w:r>
      <w:bookmarkEnd w:id="2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1.上年度研发投入占销售收入比例达到3.5%（含）以上；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2.近三年内获得国家级科技奖励；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3.近三年内主导制定国际标准、国家标准或行业标准；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4.近三年内牵头实施国家级科技计划项目（课题）、重点工程项目或省级重大科技专项、重点工程项目等；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5.在主板、中小板、创业板、科创板或境外资本市场上市。</w:t>
      </w:r>
    </w:p>
    <w:p>
      <w:pPr>
        <w:widowControl w:val="0"/>
        <w:numPr>
          <w:ilvl w:val="0"/>
          <w:numId w:val="0"/>
        </w:numPr>
        <w:spacing w:line="600" w:lineRule="exact"/>
        <w:jc w:val="both"/>
        <w:rPr>
          <w:rFonts w:hint="eastAsia" w:ascii="宋体" w:hAnsi="宋体" w:eastAsia="宋体" w:cs="宋体"/>
          <w:color w:val="000000" w:themeColor="text1"/>
          <w:sz w:val="28"/>
          <w:szCs w:val="28"/>
          <w:lang w:eastAsia="zh-CN"/>
          <w14:textFill>
            <w14:solidFill>
              <w14:schemeClr w14:val="tx1"/>
            </w14:solidFill>
          </w14:textFill>
        </w:rPr>
      </w:pPr>
    </w:p>
    <w:p>
      <w:pPr>
        <w:numPr>
          <w:ilvl w:val="0"/>
          <w:numId w:val="0"/>
        </w:numPr>
        <w:ind w:firstLine="280" w:firstLineChars="100"/>
        <w:jc w:val="both"/>
        <w:rPr>
          <w:rFonts w:hint="default" w:ascii="宋体" w:hAnsi="宋体" w:eastAsia="宋体" w:cs="宋体"/>
          <w:b w:val="0"/>
          <w:bCs w:val="0"/>
          <w:sz w:val="28"/>
          <w:szCs w:val="28"/>
          <w:vertAlign w:val="baseline"/>
          <w:lang w:val="en-US" w:eastAsia="zh-CN"/>
        </w:rPr>
      </w:pPr>
    </w:p>
    <w:p>
      <w:pPr>
        <w:numPr>
          <w:ilvl w:val="0"/>
          <w:numId w:val="0"/>
        </w:numPr>
        <w:jc w:val="center"/>
        <w:outlineLvl w:val="1"/>
        <w:rPr>
          <w:rFonts w:hint="eastAsia" w:ascii="黑体" w:hAnsi="黑体" w:eastAsia="黑体" w:cs="黑体"/>
          <w:b w:val="0"/>
          <w:bCs w:val="0"/>
          <w:sz w:val="32"/>
          <w:szCs w:val="32"/>
          <w:vertAlign w:val="baseline"/>
          <w:lang w:val="en-US" w:eastAsia="zh-CN"/>
        </w:rPr>
      </w:pPr>
      <w:bookmarkStart w:id="22" w:name="_Toc20826"/>
      <w:r>
        <w:rPr>
          <w:rFonts w:hint="eastAsia" w:ascii="黑体" w:hAnsi="黑体" w:eastAsia="黑体" w:cs="黑体"/>
          <w:b w:val="0"/>
          <w:bCs w:val="0"/>
          <w:sz w:val="32"/>
          <w:szCs w:val="32"/>
          <w:vertAlign w:val="baseline"/>
          <w:lang w:val="en-US" w:eastAsia="zh-CN"/>
        </w:rPr>
        <w:t>奖补政策</w:t>
      </w:r>
      <w:bookmarkEnd w:id="22"/>
    </w:p>
    <w:tbl>
      <w:tblPr>
        <w:tblStyle w:val="12"/>
        <w:tblpPr w:leftFromText="180" w:rightFromText="180" w:vertAnchor="text" w:horzAnchor="page" w:tblpX="1711" w:tblpY="459"/>
        <w:tblOverlap w:val="never"/>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958"/>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项目名称</w:t>
            </w:r>
          </w:p>
        </w:tc>
        <w:tc>
          <w:tcPr>
            <w:tcW w:w="5916" w:type="dxa"/>
            <w:gridSpan w:val="2"/>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vMerge w:val="restart"/>
            <w:vAlign w:val="center"/>
          </w:tcPr>
          <w:p>
            <w:pPr>
              <w:ind w:firstLine="320" w:firstLineChars="100"/>
              <w:jc w:val="center"/>
              <w:rPr>
                <w:rFonts w:hint="eastAsia" w:ascii="仿宋" w:hAnsi="仿宋" w:eastAsia="仿宋" w:cs="仿宋"/>
                <w:b w:val="0"/>
                <w:bCs w:val="0"/>
                <w:sz w:val="32"/>
                <w:szCs w:val="32"/>
                <w:vertAlign w:val="baseline"/>
                <w:lang w:val="en-US" w:eastAsia="zh-CN"/>
              </w:rPr>
            </w:pPr>
          </w:p>
          <w:p>
            <w:pPr>
              <w:ind w:firstLine="320" w:firstLineChars="100"/>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河南省创新龙头企业</w:t>
            </w:r>
          </w:p>
          <w:p>
            <w:pPr>
              <w:numPr>
                <w:ilvl w:val="0"/>
                <w:numId w:val="0"/>
              </w:numPr>
              <w:jc w:val="center"/>
              <w:rPr>
                <w:rFonts w:hint="eastAsia" w:ascii="仿宋" w:hAnsi="仿宋" w:eastAsia="仿宋" w:cs="仿宋"/>
                <w:b w:val="0"/>
                <w:bCs w:val="0"/>
                <w:sz w:val="32"/>
                <w:szCs w:val="32"/>
                <w:vertAlign w:val="baseline"/>
                <w:lang w:val="en-US" w:eastAsia="zh-CN"/>
              </w:rPr>
            </w:pPr>
          </w:p>
        </w:tc>
        <w:tc>
          <w:tcPr>
            <w:tcW w:w="2958"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市级</w:t>
            </w:r>
          </w:p>
        </w:tc>
        <w:tc>
          <w:tcPr>
            <w:tcW w:w="2958"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58" w:type="dxa"/>
            <w:vMerge w:val="continue"/>
            <w:vAlign w:val="center"/>
          </w:tcPr>
          <w:p>
            <w:pPr>
              <w:numPr>
                <w:ilvl w:val="0"/>
                <w:numId w:val="0"/>
              </w:numPr>
              <w:jc w:val="center"/>
              <w:rPr>
                <w:rFonts w:hint="eastAsia" w:ascii="仿宋" w:hAnsi="仿宋" w:eastAsia="仿宋" w:cs="仿宋"/>
                <w:b/>
                <w:bCs/>
                <w:sz w:val="32"/>
                <w:szCs w:val="32"/>
                <w:vertAlign w:val="baseline"/>
                <w:lang w:val="en-US" w:eastAsia="zh-CN"/>
              </w:rPr>
            </w:pPr>
          </w:p>
        </w:tc>
        <w:tc>
          <w:tcPr>
            <w:tcW w:w="2958" w:type="dxa"/>
            <w:vMerge w:val="restart"/>
            <w:vAlign w:val="center"/>
          </w:tcPr>
          <w:p>
            <w:pPr>
              <w:numPr>
                <w:ilvl w:val="0"/>
                <w:numId w:val="0"/>
              </w:numPr>
              <w:jc w:val="center"/>
              <w:rPr>
                <w:rFonts w:hint="eastAsia" w:ascii="仿宋" w:hAnsi="仿宋" w:eastAsia="仿宋" w:cs="仿宋"/>
                <w:b/>
                <w:bCs/>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w:t>
            </w:r>
          </w:p>
        </w:tc>
        <w:tc>
          <w:tcPr>
            <w:tcW w:w="2958" w:type="dxa"/>
            <w:vMerge w:val="restart"/>
            <w:vAlign w:val="center"/>
          </w:tcPr>
          <w:p>
            <w:pPr>
              <w:numPr>
                <w:ilvl w:val="0"/>
                <w:numId w:val="0"/>
              </w:numPr>
              <w:jc w:val="center"/>
              <w:rPr>
                <w:rFonts w:hint="eastAsia" w:ascii="仿宋" w:hAnsi="仿宋" w:eastAsia="仿宋" w:cs="仿宋"/>
                <w:b/>
                <w:bCs/>
                <w:color w:val="auto"/>
                <w:sz w:val="32"/>
                <w:szCs w:val="32"/>
                <w:vertAlign w:val="baseline"/>
                <w:lang w:val="en-US" w:eastAsia="zh-CN"/>
              </w:rPr>
            </w:pPr>
            <w:r>
              <w:rPr>
                <w:rFonts w:hint="eastAsia" w:ascii="仿宋" w:hAnsi="仿宋" w:eastAsia="仿宋" w:cs="仿宋"/>
                <w:b w:val="0"/>
                <w:bCs w:val="0"/>
                <w:color w:val="auto"/>
                <w:kern w:val="2"/>
                <w:sz w:val="32"/>
                <w:szCs w:val="32"/>
                <w:highlight w:val="no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2958" w:type="dxa"/>
            <w:vMerge w:val="continue"/>
            <w:vAlign w:val="center"/>
          </w:tcPr>
          <w:p>
            <w:pPr>
              <w:numPr>
                <w:ilvl w:val="0"/>
                <w:numId w:val="0"/>
              </w:numPr>
              <w:jc w:val="center"/>
              <w:rPr>
                <w:rFonts w:hint="default" w:ascii="宋体" w:hAnsi="宋体" w:eastAsia="宋体" w:cs="宋体"/>
                <w:b/>
                <w:bCs/>
                <w:sz w:val="32"/>
                <w:szCs w:val="32"/>
                <w:vertAlign w:val="baseline"/>
                <w:lang w:val="en-US" w:eastAsia="zh-CN"/>
              </w:rPr>
            </w:pPr>
          </w:p>
        </w:tc>
        <w:tc>
          <w:tcPr>
            <w:tcW w:w="2958" w:type="dxa"/>
            <w:vMerge w:val="continue"/>
            <w:vAlign w:val="center"/>
          </w:tcPr>
          <w:p>
            <w:pPr>
              <w:numPr>
                <w:ilvl w:val="0"/>
                <w:numId w:val="0"/>
              </w:numPr>
              <w:jc w:val="center"/>
              <w:rPr>
                <w:rFonts w:hint="default" w:ascii="宋体" w:hAnsi="宋体" w:eastAsia="宋体" w:cs="宋体"/>
                <w:b/>
                <w:bCs/>
                <w:sz w:val="32"/>
                <w:szCs w:val="32"/>
                <w:vertAlign w:val="baseline"/>
                <w:lang w:val="en-US" w:eastAsia="zh-CN"/>
              </w:rPr>
            </w:pPr>
          </w:p>
        </w:tc>
        <w:tc>
          <w:tcPr>
            <w:tcW w:w="2958" w:type="dxa"/>
            <w:vMerge w:val="continue"/>
            <w:vAlign w:val="center"/>
          </w:tcPr>
          <w:p>
            <w:pPr>
              <w:numPr>
                <w:ilvl w:val="0"/>
                <w:numId w:val="0"/>
              </w:numPr>
              <w:jc w:val="center"/>
              <w:rPr>
                <w:rFonts w:hint="default" w:ascii="宋体" w:hAnsi="宋体" w:eastAsia="宋体" w:cs="宋体"/>
                <w:b/>
                <w:bCs/>
                <w:sz w:val="32"/>
                <w:szCs w:val="32"/>
                <w:vertAlign w:val="baseline"/>
                <w:lang w:val="en-US" w:eastAsia="zh-CN"/>
              </w:rPr>
            </w:pPr>
          </w:p>
        </w:tc>
      </w:tr>
    </w:tbl>
    <w:p>
      <w:pPr>
        <w:numPr>
          <w:ilvl w:val="0"/>
          <w:numId w:val="0"/>
        </w:numPr>
        <w:rPr>
          <w:rFonts w:hint="eastAsia" w:ascii="宋体" w:hAnsi="宋体" w:eastAsia="宋体" w:cs="宋体"/>
          <w:b/>
          <w:bCs/>
          <w:sz w:val="28"/>
          <w:szCs w:val="28"/>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211"/>
        </w:tabs>
        <w:bidi w:val="0"/>
        <w:jc w:val="left"/>
        <w:rPr>
          <w:rFonts w:hint="eastAsia"/>
          <w:lang w:val="en-US" w:eastAsia="zh-CN"/>
        </w:rPr>
      </w:pPr>
      <w:r>
        <w:rPr>
          <w:rFonts w:hint="eastAsia"/>
          <w:lang w:val="en-US" w:eastAsia="zh-CN"/>
        </w:rPr>
        <w:tab/>
      </w:r>
    </w:p>
    <w:p>
      <w:pPr>
        <w:tabs>
          <w:tab w:val="left" w:pos="2211"/>
        </w:tabs>
        <w:bidi w:val="0"/>
        <w:jc w:val="left"/>
        <w:rPr>
          <w:rFonts w:hint="eastAsia"/>
          <w:lang w:val="en-US" w:eastAsia="zh-CN"/>
        </w:rPr>
      </w:pPr>
    </w:p>
    <w:p>
      <w:pPr>
        <w:tabs>
          <w:tab w:val="left" w:pos="2211"/>
        </w:tabs>
        <w:bidi w:val="0"/>
        <w:jc w:val="left"/>
        <w:rPr>
          <w:rFonts w:hint="eastAsia"/>
          <w:lang w:val="en-US" w:eastAsia="zh-CN"/>
        </w:rPr>
      </w:pPr>
    </w:p>
    <w:p>
      <w:pPr>
        <w:tabs>
          <w:tab w:val="left" w:pos="2211"/>
        </w:tabs>
        <w:bidi w:val="0"/>
        <w:jc w:val="left"/>
        <w:rPr>
          <w:rFonts w:hint="eastAsia"/>
          <w:lang w:val="en-US" w:eastAsia="zh-CN"/>
        </w:rPr>
      </w:pPr>
    </w:p>
    <w:p>
      <w:pPr>
        <w:tabs>
          <w:tab w:val="left" w:pos="2211"/>
        </w:tabs>
        <w:bidi w:val="0"/>
        <w:jc w:val="left"/>
        <w:rPr>
          <w:rFonts w:hint="eastAsia"/>
          <w:lang w:val="en-US" w:eastAsia="zh-CN"/>
        </w:rPr>
      </w:pPr>
    </w:p>
    <w:p>
      <w:pPr>
        <w:tabs>
          <w:tab w:val="left" w:pos="2211"/>
        </w:tabs>
        <w:bidi w:val="0"/>
        <w:jc w:val="left"/>
        <w:rPr>
          <w:rFonts w:hint="eastAsia"/>
          <w:lang w:val="en-US" w:eastAsia="zh-CN"/>
        </w:rPr>
      </w:pPr>
    </w:p>
    <w:p>
      <w:pPr>
        <w:tabs>
          <w:tab w:val="left" w:pos="2211"/>
        </w:tabs>
        <w:bidi w:val="0"/>
        <w:jc w:val="left"/>
        <w:rPr>
          <w:rFonts w:hint="eastAsia"/>
          <w:lang w:val="en-US" w:eastAsia="zh-CN"/>
        </w:rPr>
      </w:pPr>
    </w:p>
    <w:p>
      <w:pPr>
        <w:tabs>
          <w:tab w:val="left" w:pos="2211"/>
        </w:tabs>
        <w:bidi w:val="0"/>
        <w:jc w:val="left"/>
        <w:rPr>
          <w:rFonts w:hint="eastAsia"/>
          <w:lang w:val="en-US" w:eastAsia="zh-CN"/>
        </w:rPr>
      </w:pPr>
    </w:p>
    <w:p>
      <w:pPr>
        <w:tabs>
          <w:tab w:val="left" w:pos="2211"/>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bCs/>
          <w:sz w:val="32"/>
          <w:szCs w:val="32"/>
          <w:vertAlign w:val="baseline"/>
          <w:lang w:val="en-US" w:eastAsia="zh-CN"/>
        </w:rPr>
      </w:pPr>
    </w:p>
    <w:p>
      <w:pP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outlineLvl w:val="0"/>
        <w:rPr>
          <w:rFonts w:hint="eastAsia" w:ascii="黑体" w:hAnsi="黑体" w:eastAsia="黑体" w:cs="黑体"/>
          <w:b w:val="0"/>
          <w:bCs w:val="0"/>
          <w:color w:val="auto"/>
          <w:sz w:val="32"/>
          <w:szCs w:val="32"/>
          <w:lang w:eastAsia="zh-CN"/>
        </w:rPr>
      </w:pPr>
      <w:bookmarkStart w:id="23" w:name="_Toc15179"/>
      <w:r>
        <w:rPr>
          <w:rFonts w:hint="eastAsia" w:ascii="黑体" w:hAnsi="黑体" w:eastAsia="黑体" w:cs="黑体"/>
          <w:b w:val="0"/>
          <w:bCs w:val="0"/>
          <w:color w:val="auto"/>
          <w:sz w:val="32"/>
          <w:szCs w:val="32"/>
          <w:lang w:eastAsia="zh-CN"/>
        </w:rPr>
        <w:t>六、安阳市创新龙头企业</w:t>
      </w:r>
      <w:bookmarkEnd w:id="23"/>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申请标准：</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lang w:eastAsia="zh-CN"/>
        </w:rPr>
        <w:t>（一）</w:t>
      </w:r>
      <w:r>
        <w:rPr>
          <w:rFonts w:hint="eastAsia" w:ascii="仿宋" w:hAnsi="仿宋" w:eastAsia="仿宋" w:cs="仿宋"/>
          <w:i w:val="0"/>
          <w:caps w:val="0"/>
          <w:color w:val="auto"/>
          <w:spacing w:val="0"/>
          <w:sz w:val="32"/>
          <w:szCs w:val="32"/>
          <w:shd w:val="clear" w:color="auto" w:fill="auto"/>
        </w:rPr>
        <w:t>在安阳市境内注册的独立企业法人，主营产品（服务）符合国家鼓励发展的重点产业领域。优先在高新技术企业内遴选。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eastAsia="zh-CN"/>
        </w:rPr>
        <w:t>（二）</w:t>
      </w:r>
      <w:r>
        <w:rPr>
          <w:rFonts w:hint="eastAsia" w:ascii="仿宋" w:hAnsi="仿宋" w:eastAsia="仿宋" w:cs="仿宋"/>
          <w:i w:val="0"/>
          <w:caps w:val="0"/>
          <w:color w:val="auto"/>
          <w:spacing w:val="0"/>
          <w:sz w:val="32"/>
          <w:szCs w:val="32"/>
          <w:shd w:val="clear" w:color="auto" w:fill="auto"/>
        </w:rPr>
        <w:t>具有较强综合实力。企业主营业务突出，主导产品市场占有率高，引领和带动行业发展能力强。企业年营业收入不低于1亿元，或三年内企业营业收入有望突破2亿元，盈利状况好，发展潜力大，资产负债率合理。</w:t>
      </w:r>
    </w:p>
    <w:p>
      <w:pPr>
        <w:numPr>
          <w:ilvl w:val="0"/>
          <w:numId w:val="0"/>
        </w:numPr>
        <w:ind w:firstLine="640" w:firstLineChars="200"/>
        <w:jc w:val="both"/>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eastAsia="zh-CN"/>
        </w:rPr>
        <w:t>（三）</w:t>
      </w:r>
      <w:r>
        <w:rPr>
          <w:rFonts w:hint="eastAsia" w:ascii="仿宋" w:hAnsi="仿宋" w:eastAsia="仿宋" w:cs="仿宋"/>
          <w:i w:val="0"/>
          <w:caps w:val="0"/>
          <w:color w:val="auto"/>
          <w:spacing w:val="0"/>
          <w:sz w:val="32"/>
          <w:szCs w:val="32"/>
          <w:shd w:val="clear" w:color="auto" w:fill="auto"/>
        </w:rPr>
        <w:t>拥有自主知识产权核心技术。企业掌握具有自主知识产权、属于国内领先的核心技术，拥有一批以技术发明为主的专利，主持或参与国际、国家或行业标准的制定工作。</w:t>
      </w:r>
    </w:p>
    <w:p>
      <w:pPr>
        <w:numPr>
          <w:ilvl w:val="0"/>
          <w:numId w:val="0"/>
        </w:numPr>
        <w:ind w:firstLine="640" w:firstLineChars="200"/>
        <w:jc w:val="both"/>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eastAsia="zh-CN"/>
        </w:rPr>
        <w:t>（四）</w:t>
      </w:r>
      <w:r>
        <w:rPr>
          <w:rFonts w:hint="eastAsia" w:ascii="仿宋" w:hAnsi="仿宋" w:eastAsia="仿宋" w:cs="仿宋"/>
          <w:i w:val="0"/>
          <w:caps w:val="0"/>
          <w:color w:val="auto"/>
          <w:spacing w:val="0"/>
          <w:sz w:val="32"/>
          <w:szCs w:val="32"/>
          <w:shd w:val="clear" w:color="auto" w:fill="auto"/>
        </w:rPr>
        <w:t>具有较高创新投入。企业注重研发投入和人才培养，科技人员占职工总数的比例不低于10%，上年度研发费用总额占营业收入总额的比例不低于3%。</w:t>
      </w:r>
    </w:p>
    <w:p>
      <w:pPr>
        <w:numPr>
          <w:ilvl w:val="0"/>
          <w:numId w:val="0"/>
        </w:numPr>
        <w:ind w:firstLine="640" w:firstLineChars="200"/>
        <w:jc w:val="both"/>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eastAsia="zh-CN"/>
        </w:rPr>
        <w:t>（五）</w:t>
      </w:r>
      <w:r>
        <w:rPr>
          <w:rFonts w:hint="eastAsia" w:ascii="仿宋" w:hAnsi="仿宋" w:eastAsia="仿宋" w:cs="仿宋"/>
          <w:i w:val="0"/>
          <w:caps w:val="0"/>
          <w:color w:val="auto"/>
          <w:spacing w:val="0"/>
          <w:sz w:val="32"/>
          <w:szCs w:val="32"/>
          <w:shd w:val="clear" w:color="auto" w:fill="auto"/>
        </w:rPr>
        <w:t>具有持续创新能力。企业有较完善的创新发展战略或发展规划，建有省级以上研发机构，具有良好的产学研合作关系，已形成与市场机制相适应的人才评价体系和创新激励机制。</w:t>
      </w:r>
    </w:p>
    <w:p>
      <w:pPr>
        <w:tabs>
          <w:tab w:val="left" w:pos="2211"/>
        </w:tabs>
        <w:bidi w:val="0"/>
        <w:ind w:firstLine="640" w:firstLineChars="200"/>
        <w:jc w:val="left"/>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lang w:eastAsia="zh-CN"/>
        </w:rPr>
        <w:t>（六）</w:t>
      </w:r>
      <w:r>
        <w:rPr>
          <w:rFonts w:hint="eastAsia" w:ascii="仿宋" w:hAnsi="仿宋" w:eastAsia="仿宋" w:cs="仿宋"/>
          <w:i w:val="0"/>
          <w:caps w:val="0"/>
          <w:color w:val="auto"/>
          <w:spacing w:val="0"/>
          <w:sz w:val="32"/>
          <w:szCs w:val="32"/>
          <w:shd w:val="clear" w:color="auto" w:fill="auto"/>
        </w:rPr>
        <w:t>企业近三年内未发生重大安全、重大质量事故或严重环境违法等不良行为，未被列入经营异常名录和严重违法失信企业名单。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b w:val="0"/>
          <w:bCs w:val="0"/>
          <w:color w:val="auto"/>
          <w:sz w:val="32"/>
          <w:szCs w:val="32"/>
          <w:vertAlign w:val="baseline"/>
          <w:lang w:val="en-US" w:eastAsia="zh-CN"/>
        </w:rPr>
      </w:pPr>
      <w:bookmarkStart w:id="24" w:name="_Toc20105"/>
      <w:r>
        <w:rPr>
          <w:rFonts w:hint="eastAsia" w:ascii="黑体" w:hAnsi="黑体" w:eastAsia="黑体" w:cs="黑体"/>
          <w:b w:val="0"/>
          <w:bCs w:val="0"/>
          <w:color w:val="auto"/>
          <w:sz w:val="32"/>
          <w:szCs w:val="32"/>
          <w:lang w:eastAsia="zh-CN"/>
        </w:rPr>
        <w:t>七、河南省“科技雏鹰”企业</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申请标准：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有效期内国家高新技术企业、国家科技型中小企业；</w:t>
      </w:r>
    </w:p>
    <w:p>
      <w:pPr>
        <w:widowControl w:val="0"/>
        <w:numPr>
          <w:ilvl w:val="0"/>
          <w:numId w:val="0"/>
        </w:numPr>
        <w:spacing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注册时间1年以上10年（含）以下；</w:t>
      </w:r>
    </w:p>
    <w:p>
      <w:pPr>
        <w:widowControl w:val="0"/>
        <w:numPr>
          <w:ilvl w:val="0"/>
          <w:numId w:val="0"/>
        </w:numPr>
        <w:spacing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上年度销售收入原则上为1000万元（含）-5000万</w:t>
      </w:r>
      <w:r>
        <w:rPr>
          <w:rFonts w:hint="eastAsia" w:ascii="仿宋" w:hAnsi="仿宋" w:eastAsia="仿宋" w:cs="仿宋"/>
          <w:b/>
          <w:bCs/>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14:textFill>
            <w14:solidFill>
              <w14:schemeClr w14:val="tx1"/>
            </w14:solidFill>
          </w14:textFill>
        </w:rPr>
        <w:t>；</w:t>
      </w:r>
    </w:p>
    <w:p>
      <w:pPr>
        <w:widowControl w:val="0"/>
        <w:numPr>
          <w:ilvl w:val="0"/>
          <w:numId w:val="0"/>
        </w:numPr>
        <w:spacing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上年度研发投入占销售收入比例不低于6%；</w:t>
      </w:r>
    </w:p>
    <w:p>
      <w:pPr>
        <w:widowControl w:val="0"/>
        <w:numPr>
          <w:ilvl w:val="0"/>
          <w:numId w:val="0"/>
        </w:numPr>
        <w:spacing w:line="600" w:lineRule="exact"/>
        <w:ind w:firstLine="640" w:firstLineChars="200"/>
        <w:jc w:val="both"/>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从事研发和相关技术创新活动的科技人员占职工总数比例不低于15%；</w:t>
      </w:r>
    </w:p>
    <w:p>
      <w:pPr>
        <w:widowControl w:val="0"/>
        <w:numPr>
          <w:ilvl w:val="0"/>
          <w:numId w:val="0"/>
        </w:numPr>
        <w:spacing w:line="600" w:lineRule="exact"/>
        <w:ind w:firstLine="640" w:firstLineChars="200"/>
        <w:jc w:val="both"/>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拥有有效期内1项（含）以上I类知识产权或2项（含）以上II类知识产权；</w:t>
      </w:r>
    </w:p>
    <w:p>
      <w:pPr>
        <w:widowControl w:val="0"/>
        <w:numPr>
          <w:ilvl w:val="0"/>
          <w:numId w:val="0"/>
        </w:numPr>
        <w:spacing w:line="600" w:lineRule="exact"/>
        <w:ind w:firstLine="640" w:firstLineChars="200"/>
        <w:jc w:val="both"/>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申报当年及上一年未发生重大安全、重大质量事故或严重环境违法等不良行为，未列入社会信用黑名单。</w:t>
      </w:r>
    </w:p>
    <w:p>
      <w:pPr>
        <w:widowControl w:val="0"/>
        <w:numPr>
          <w:ilvl w:val="0"/>
          <w:numId w:val="0"/>
        </w:numPr>
        <w:spacing w:line="600" w:lineRule="exact"/>
        <w:jc w:val="both"/>
        <w:rPr>
          <w:rFonts w:hint="eastAsia" w:ascii="仿宋" w:hAnsi="仿宋" w:eastAsia="仿宋" w:cs="仿宋"/>
          <w:b w:val="0"/>
          <w:bCs w:val="0"/>
          <w:sz w:val="32"/>
          <w:szCs w:val="32"/>
          <w:vertAlign w:val="baseline"/>
          <w:lang w:val="en-US" w:eastAsia="zh-CN"/>
        </w:rPr>
      </w:pPr>
    </w:p>
    <w:p>
      <w:pPr>
        <w:widowControl w:val="0"/>
        <w:numPr>
          <w:ilvl w:val="0"/>
          <w:numId w:val="0"/>
        </w:numPr>
        <w:spacing w:line="600" w:lineRule="exact"/>
        <w:jc w:val="both"/>
        <w:rPr>
          <w:rFonts w:hint="eastAsia" w:ascii="宋体" w:hAnsi="宋体" w:eastAsia="宋体" w:cs="宋体"/>
          <w:b w:val="0"/>
          <w:bCs w:val="0"/>
          <w:sz w:val="28"/>
          <w:szCs w:val="28"/>
          <w:vertAlign w:val="baseline"/>
          <w:lang w:val="en-US" w:eastAsia="zh-CN"/>
        </w:rPr>
      </w:pPr>
    </w:p>
    <w:p>
      <w:pPr>
        <w:widowControl w:val="0"/>
        <w:numPr>
          <w:ilvl w:val="0"/>
          <w:numId w:val="0"/>
        </w:numPr>
        <w:spacing w:line="600" w:lineRule="exact"/>
        <w:jc w:val="both"/>
        <w:rPr>
          <w:rFonts w:hint="eastAsia" w:ascii="宋体" w:hAnsi="宋体" w:eastAsia="宋体" w:cs="宋体"/>
          <w:b w:val="0"/>
          <w:bCs w:val="0"/>
          <w:sz w:val="28"/>
          <w:szCs w:val="28"/>
          <w:vertAlign w:val="baseline"/>
          <w:lang w:val="en-US" w:eastAsia="zh-CN"/>
        </w:rPr>
      </w:pPr>
    </w:p>
    <w:p>
      <w:pPr>
        <w:widowControl w:val="0"/>
        <w:numPr>
          <w:ilvl w:val="0"/>
          <w:numId w:val="0"/>
        </w:numPr>
        <w:spacing w:line="600" w:lineRule="exact"/>
        <w:jc w:val="both"/>
        <w:rPr>
          <w:rFonts w:hint="eastAsia" w:ascii="宋体" w:hAnsi="宋体" w:eastAsia="宋体" w:cs="宋体"/>
          <w:b w:val="0"/>
          <w:bCs w:val="0"/>
          <w:sz w:val="28"/>
          <w:szCs w:val="28"/>
          <w:vertAlign w:val="baseline"/>
          <w:lang w:val="en-US" w:eastAsia="zh-CN"/>
        </w:rPr>
      </w:pPr>
    </w:p>
    <w:p>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br w:type="page"/>
      </w:r>
    </w:p>
    <w:p>
      <w:pPr>
        <w:keepNext w:val="0"/>
        <w:keepLines w:val="0"/>
        <w:pageBreakBefore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b w:val="0"/>
          <w:bCs w:val="0"/>
          <w:sz w:val="32"/>
          <w:szCs w:val="32"/>
          <w:vertAlign w:val="baseline"/>
          <w:lang w:val="en-US" w:eastAsia="zh-CN"/>
        </w:rPr>
      </w:pPr>
      <w:bookmarkStart w:id="25" w:name="_Toc3599"/>
      <w:r>
        <w:rPr>
          <w:rFonts w:hint="eastAsia" w:ascii="黑体" w:hAnsi="黑体" w:eastAsia="黑体" w:cs="黑体"/>
          <w:b w:val="0"/>
          <w:bCs w:val="0"/>
          <w:color w:val="000000" w:themeColor="text1"/>
          <w:sz w:val="32"/>
          <w:szCs w:val="32"/>
          <w:lang w:eastAsia="zh-CN"/>
          <w14:textFill>
            <w14:solidFill>
              <w14:schemeClr w14:val="tx1"/>
            </w14:solidFill>
          </w14:textFill>
        </w:rPr>
        <w:t>八、河南省工程技术研究中心</w:t>
      </w:r>
      <w:bookmarkEnd w:id="25"/>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申请标准：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工程中心依托单位必须在河南省内注册登记，并具有独立法人资格。依托单位为企业的，上年销售收入不少于2000万元，上年度研发投入占年销售收入比不低于3%或不少于500万元。依托单位为高校、科研院所或其他机构的，近3年内在同一技术领域内转化的技术成果不少于3项、完成的对外产学研合作项目不低于4项、自主获得的知识产权成果不少于4项（其中：发明专利、植物新品种、国家级农作物品种、国家新药、国家一级中药保护品种、集成电路布图设计专有权按Ⅰ类评价；实用新型专利、外观设计专利、软件著作权按Ⅱ类评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（二）依托单位原则上应建有市厅级及以上研发中心。由省直管县（市）推荐的，建有较完善内部研发组织且正常运行的可直接申请省工程中心。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工程中心符合产业发展政策，掌握产业核心技术并具有自主知识产权，技术水平处于本领域领先地位，拥有一支研发能力强、技术水平高、工程化实践经验丰富的研究开发团队，其中相对固定和较高水平的工程技术研究和工程设计人员15人以上，具有高级职称或博士学位的工程技术带头人员不低于20%，或不少于3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（四）工程中心具备工程技术试验条件和基础设施，必要的检测、分析等仪器设备总值达到500万元以上，研究开发场地面积达100平方米以上，中试基地面积达到300平方米以上。</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奖补政策</w:t>
      </w:r>
    </w:p>
    <w:p>
      <w:pPr>
        <w:numPr>
          <w:ilvl w:val="0"/>
          <w:numId w:val="0"/>
        </w:numPr>
        <w:ind w:firstLine="560" w:firstLineChars="200"/>
        <w:jc w:val="both"/>
        <w:rPr>
          <w:rFonts w:hint="eastAsia" w:ascii="宋体" w:hAnsi="宋体" w:eastAsia="宋体" w:cs="宋体"/>
          <w:b w:val="0"/>
          <w:bCs w:val="0"/>
          <w:sz w:val="28"/>
          <w:szCs w:val="28"/>
          <w:vertAlign w:val="baseline"/>
          <w:lang w:val="en-US" w:eastAsia="zh-CN"/>
        </w:rPr>
      </w:pPr>
    </w:p>
    <w:tbl>
      <w:tblPr>
        <w:tblStyle w:val="12"/>
        <w:tblpPr w:leftFromText="180" w:rightFromText="180" w:vertAnchor="text" w:horzAnchor="page" w:tblpXSpec="center" w:tblpY="334"/>
        <w:tblOverlap w:val="never"/>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9"/>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53" w:type="dxa"/>
            <w:gridSpan w:val="2"/>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699"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市级</w:t>
            </w:r>
          </w:p>
        </w:tc>
        <w:tc>
          <w:tcPr>
            <w:tcW w:w="3754"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699" w:type="dxa"/>
            <w:vMerge w:val="restart"/>
            <w:vAlign w:val="center"/>
          </w:tcPr>
          <w:p>
            <w:pPr>
              <w:numPr>
                <w:ilvl w:val="0"/>
                <w:numId w:val="0"/>
              </w:num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30</w:t>
            </w:r>
          </w:p>
        </w:tc>
        <w:tc>
          <w:tcPr>
            <w:tcW w:w="3754" w:type="dxa"/>
            <w:vMerge w:val="restart"/>
            <w:vAlign w:val="center"/>
          </w:tcPr>
          <w:p>
            <w:pPr>
              <w:numPr>
                <w:ilvl w:val="0"/>
                <w:numId w:val="0"/>
              </w:num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699" w:type="dxa"/>
            <w:vMerge w:val="continue"/>
            <w:vAlign w:val="center"/>
          </w:tcPr>
          <w:p>
            <w:pPr>
              <w:numPr>
                <w:ilvl w:val="0"/>
                <w:numId w:val="0"/>
              </w:numPr>
              <w:jc w:val="center"/>
              <w:rPr>
                <w:rFonts w:hint="default" w:ascii="宋体" w:hAnsi="宋体" w:eastAsia="宋体" w:cs="宋体"/>
                <w:b w:val="0"/>
                <w:bCs w:val="0"/>
                <w:sz w:val="32"/>
                <w:szCs w:val="32"/>
                <w:vertAlign w:val="baseline"/>
                <w:lang w:val="en-US" w:eastAsia="zh-CN"/>
              </w:rPr>
            </w:pPr>
          </w:p>
        </w:tc>
        <w:tc>
          <w:tcPr>
            <w:tcW w:w="3754" w:type="dxa"/>
            <w:vMerge w:val="continue"/>
            <w:vAlign w:val="center"/>
          </w:tcPr>
          <w:p>
            <w:pPr>
              <w:numPr>
                <w:ilvl w:val="0"/>
                <w:numId w:val="0"/>
              </w:numPr>
              <w:jc w:val="center"/>
              <w:rPr>
                <w:rFonts w:hint="default" w:ascii="宋体" w:hAnsi="宋体" w:eastAsia="宋体" w:cs="宋体"/>
                <w:b w:val="0"/>
                <w:bCs w:val="0"/>
                <w:sz w:val="32"/>
                <w:szCs w:val="32"/>
                <w:vertAlign w:val="baseline"/>
                <w:lang w:val="en-US" w:eastAsia="zh-CN"/>
              </w:rPr>
            </w:pPr>
          </w:p>
        </w:tc>
      </w:tr>
    </w:tbl>
    <w:p>
      <w:pPr>
        <w:numPr>
          <w:ilvl w:val="0"/>
          <w:numId w:val="0"/>
        </w:numPr>
        <w:ind w:firstLine="560" w:firstLineChars="200"/>
        <w:jc w:val="both"/>
        <w:rPr>
          <w:rFonts w:hint="eastAsia" w:ascii="宋体" w:hAnsi="宋体" w:eastAsia="宋体" w:cs="宋体"/>
          <w:b w:val="0"/>
          <w:bCs w:val="0"/>
          <w:sz w:val="28"/>
          <w:szCs w:val="28"/>
          <w:vertAlign w:val="baseline"/>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rPr>
          <w:rFonts w:hint="eastAsia" w:ascii="宋体" w:hAnsi="宋体" w:eastAsia="宋体" w:cs="宋体"/>
          <w:i w:val="0"/>
          <w:caps w:val="0"/>
          <w:color w:val="auto"/>
          <w:spacing w:val="0"/>
          <w:sz w:val="28"/>
          <w:szCs w:val="28"/>
          <w:shd w:val="clear" w:color="auto" w:fill="auto"/>
          <w:lang w:val="en-US" w:eastAsia="zh-CN"/>
        </w:rPr>
      </w:pPr>
      <w:r>
        <w:rPr>
          <w:rFonts w:hint="eastAsia" w:ascii="宋体" w:hAnsi="宋体" w:eastAsia="宋体" w:cs="宋体"/>
          <w:i w:val="0"/>
          <w:caps w:val="0"/>
          <w:color w:val="auto"/>
          <w:spacing w:val="0"/>
          <w:sz w:val="28"/>
          <w:szCs w:val="28"/>
          <w:shd w:val="clear" w:color="auto" w:fill="auto"/>
          <w:lang w:val="en-US" w:eastAsia="zh-CN"/>
        </w:rPr>
        <w:br w:type="page"/>
      </w:r>
    </w:p>
    <w:p>
      <w:pPr>
        <w:keepNext w:val="0"/>
        <w:keepLines w:val="0"/>
        <w:pageBreakBefore w:val="0"/>
        <w:widowControl w:val="0"/>
        <w:tabs>
          <w:tab w:val="left" w:pos="2211"/>
        </w:tabs>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b w:val="0"/>
          <w:bCs w:val="0"/>
          <w:color w:val="000000" w:themeColor="text1"/>
          <w:sz w:val="32"/>
          <w:szCs w:val="32"/>
          <w:lang w:eastAsia="zh-CN"/>
          <w14:textFill>
            <w14:solidFill>
              <w14:schemeClr w14:val="tx1"/>
            </w14:solidFill>
          </w14:textFill>
        </w:rPr>
      </w:pPr>
      <w:bookmarkStart w:id="26" w:name="_Toc24175"/>
      <w:r>
        <w:rPr>
          <w:rFonts w:hint="eastAsia" w:ascii="黑体" w:hAnsi="黑体" w:eastAsia="黑体" w:cs="黑体"/>
          <w:b w:val="0"/>
          <w:bCs w:val="0"/>
          <w:color w:val="000000" w:themeColor="text1"/>
          <w:sz w:val="32"/>
          <w:szCs w:val="32"/>
          <w:lang w:eastAsia="zh-CN"/>
          <w14:textFill>
            <w14:solidFill>
              <w14:schemeClr w14:val="tx1"/>
            </w14:solidFill>
          </w14:textFill>
        </w:rPr>
        <w:t>九、安阳市工程技术研究中心</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b w:val="0"/>
          <w:bCs w:val="0"/>
          <w:color w:val="000000" w:themeColor="text1"/>
          <w:sz w:val="32"/>
          <w:szCs w:val="32"/>
          <w:lang w:eastAsia="zh-CN"/>
          <w14:textFill>
            <w14:solidFill>
              <w14:schemeClr w14:val="tx1"/>
            </w14:solidFill>
          </w14:textFill>
        </w:rPr>
      </w:pPr>
      <w:bookmarkStart w:id="27" w:name="_Toc4197"/>
      <w:r>
        <w:rPr>
          <w:rFonts w:hint="eastAsia" w:ascii="仿宋" w:hAnsi="仿宋" w:eastAsia="仿宋" w:cs="仿宋"/>
          <w:b w:val="0"/>
          <w:bCs w:val="0"/>
          <w:color w:val="000000" w:themeColor="text1"/>
          <w:sz w:val="32"/>
          <w:szCs w:val="32"/>
          <w:lang w:eastAsia="zh-CN"/>
          <w14:textFill>
            <w14:solidFill>
              <w14:schemeClr w14:val="tx1"/>
            </w14:solidFill>
          </w14:textFill>
        </w:rPr>
        <w:t>申请标准：</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color w:val="000000"/>
          <w:sz w:val="32"/>
          <w:szCs w:val="32"/>
        </w:rPr>
      </w:pPr>
      <w:bookmarkStart w:id="28" w:name="_Toc24946"/>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申报单位应具有本市注册的独立法人资格。由多家组建单位联合建设的工程技术研究中心应注册为独立法人，实行理事会或董事会领导下的主任负责制。</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color w:val="000000"/>
          <w:sz w:val="32"/>
          <w:szCs w:val="32"/>
        </w:rPr>
      </w:pPr>
      <w:bookmarkStart w:id="29" w:name="_Toc2291"/>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在我市相关行业内企业规模、现有技术水平、科技创新能力据先进地位，具备承担省、市科技计划项目的能力。</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color w:val="000000"/>
          <w:sz w:val="32"/>
          <w:szCs w:val="32"/>
        </w:rPr>
      </w:pPr>
      <w:bookmarkStart w:id="30" w:name="_Toc5159"/>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企业研发投入力度较大，上年度企业技术研究与开发费用占当年销售收入的比例达3%以上，上年末资产负债率不超过70%。企业申报中心时已实现正常销售经营。认定单位在科技创新和科技进步工作中表现突出，产、学、研协同创新工作取得较好的成效，具有市级以上科技成果或核心自主知识产权，具有较强的行业辐射能力。依托单位为高校、科研院所或其他非企业类机构的，近三年在拟申报中心同一技术领域内转化的科技成果不少于2项。</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color w:val="000000"/>
          <w:sz w:val="32"/>
          <w:szCs w:val="32"/>
        </w:rPr>
      </w:pPr>
      <w:bookmarkStart w:id="31" w:name="_Toc14424"/>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工程技术研究中心负责人应具有较高的专业水平以及组织管理与协调能力。拥有研发能力强、技术水平高、工程化实践经验丰富、相关行业同行认可、具有高级职称的工程技术带头人2-3人，拥有相对固定和较高水平的工程技术研究和工程设计人员6人以上。</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color w:val="000000"/>
          <w:sz w:val="32"/>
          <w:szCs w:val="32"/>
        </w:rPr>
      </w:pPr>
      <w:bookmarkStart w:id="32" w:name="_Toc22921"/>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基本具备工程技术试验条件、工艺设备等基础设施和相对集中的设施场所，具备承担工程技术研究、开发和试验任务的能力。具备研发专用场地200平方米以上、固定的培训场地100平方米以上，有必要的研发、检测、分析手段和工艺设备。</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color w:val="000000"/>
          <w:sz w:val="32"/>
          <w:szCs w:val="32"/>
        </w:rPr>
      </w:pPr>
      <w:bookmarkStart w:id="33" w:name="_Toc28437"/>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拟认定工程技术研究中心涉及产品尚未形成正常销售时，应附该产品第三方权威部门检测报告等产品市场准入证明材料。</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color w:val="000000"/>
          <w:sz w:val="32"/>
          <w:szCs w:val="32"/>
        </w:rPr>
      </w:pPr>
      <w:bookmarkStart w:id="34" w:name="_Toc7111"/>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工程技术研究中心命名应遵循专业领域覆盖范围适中、与本单位主要产品或主流技术密切相关的原则，在《国民经济行业分类与代码》中第三级子目录下选用。</w:t>
      </w:r>
      <w:bookmarkEnd w:id="34"/>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奖补政策</w:t>
      </w:r>
    </w:p>
    <w:tbl>
      <w:tblPr>
        <w:tblStyle w:val="12"/>
        <w:tblpPr w:leftFromText="180" w:rightFromText="180" w:vertAnchor="text" w:horzAnchor="page" w:tblpX="2340" w:tblpY="455"/>
        <w:tblOverlap w:val="never"/>
        <w:tblW w:w="7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024" w:type="dxa"/>
            <w:vAlign w:val="center"/>
          </w:tcPr>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项目名称</w:t>
            </w:r>
          </w:p>
        </w:tc>
        <w:tc>
          <w:tcPr>
            <w:tcW w:w="3695" w:type="dxa"/>
            <w:vAlign w:val="center"/>
          </w:tcPr>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市级奖补资金（万元）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4024" w:type="dxa"/>
            <w:vAlign w:val="center"/>
          </w:tcPr>
          <w:p>
            <w:pPr>
              <w:tabs>
                <w:tab w:val="left" w:pos="2211"/>
              </w:tabs>
              <w:bidi w:val="0"/>
              <w:jc w:val="center"/>
              <w:rPr>
                <w:rFonts w:hint="eastAsia" w:ascii="仿宋" w:hAnsi="仿宋" w:eastAsia="仿宋" w:cs="仿宋"/>
                <w:b w:val="0"/>
                <w:bCs w:val="0"/>
                <w:color w:val="000000" w:themeColor="text1"/>
                <w:sz w:val="32"/>
                <w:szCs w:val="32"/>
                <w:lang w:eastAsia="zh-CN"/>
                <w14:textFill>
                  <w14:solidFill>
                    <w14:schemeClr w14:val="tx1"/>
                  </w14:solidFill>
                </w14:textFill>
              </w:rPr>
            </w:pPr>
          </w:p>
          <w:p>
            <w:pPr>
              <w:tabs>
                <w:tab w:val="left" w:pos="2211"/>
              </w:tabs>
              <w:bidi w:val="0"/>
              <w:jc w:val="center"/>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安阳市工程技术研究中心</w:t>
            </w:r>
          </w:p>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p>
        </w:tc>
        <w:tc>
          <w:tcPr>
            <w:tcW w:w="3695" w:type="dxa"/>
            <w:vAlign w:val="center"/>
          </w:tcPr>
          <w:p>
            <w:pPr>
              <w:tabs>
                <w:tab w:val="left" w:pos="2211"/>
              </w:tabs>
              <w:bidi w:val="0"/>
              <w:ind w:firstLine="1600" w:firstLineChars="500"/>
              <w:jc w:val="both"/>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10</w:t>
            </w:r>
          </w:p>
        </w:tc>
      </w:tr>
    </w:tbl>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keepNext w:val="0"/>
        <w:keepLines w:val="0"/>
        <w:pageBreakBefore w:val="0"/>
        <w:widowControl w:val="0"/>
        <w:tabs>
          <w:tab w:val="left" w:pos="2211"/>
        </w:tabs>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b w:val="0"/>
          <w:bCs w:val="0"/>
          <w:i w:val="0"/>
          <w:iCs w:val="0"/>
          <w:color w:val="000000" w:themeColor="text1"/>
          <w:sz w:val="32"/>
          <w:szCs w:val="32"/>
          <w:lang w:eastAsia="zh-CN"/>
          <w14:textFill>
            <w14:solidFill>
              <w14:schemeClr w14:val="tx1"/>
            </w14:solidFill>
          </w14:textFill>
        </w:rPr>
      </w:pPr>
      <w:bookmarkStart w:id="35" w:name="_Toc930"/>
      <w:r>
        <w:rPr>
          <w:rFonts w:hint="eastAsia" w:ascii="黑体" w:hAnsi="黑体" w:eastAsia="黑体" w:cs="黑体"/>
          <w:b w:val="0"/>
          <w:bCs w:val="0"/>
          <w:i w:val="0"/>
          <w:iCs w:val="0"/>
          <w:color w:val="000000" w:themeColor="text1"/>
          <w:sz w:val="32"/>
          <w:szCs w:val="32"/>
          <w:lang w:eastAsia="zh-CN"/>
          <w14:textFill>
            <w14:solidFill>
              <w14:schemeClr w14:val="tx1"/>
            </w14:solidFill>
          </w14:textFill>
        </w:rPr>
        <w:t>十、河南省技术转移示范机构</w:t>
      </w:r>
      <w:bookmarkEnd w:id="35"/>
    </w:p>
    <w:p>
      <w:pPr>
        <w:keepNext w:val="0"/>
        <w:keepLines w:val="0"/>
        <w:pageBreakBefore w:val="0"/>
        <w:widowControl w:val="0"/>
        <w:tabs>
          <w:tab w:val="left" w:pos="2211"/>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申请标准：</w:t>
      </w:r>
    </w:p>
    <w:p>
      <w:pPr>
        <w:keepNext w:val="0"/>
        <w:keepLines w:val="0"/>
        <w:pageBreakBefore w:val="0"/>
        <w:widowControl w:val="0"/>
        <w:tabs>
          <w:tab w:val="left" w:pos="2211"/>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（一）符合我省产业政策，发展方向明确，有符合本机构实际情况和发展要求的经营理念。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（二）有适合机构本身发展要求的独特商业模式、特色经营项目和核心竞争力，能够从技术转移服务中获取稳定的收入，并能维持其日常运营活动。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（三）有两年以上从事技术转移业务的经历及开展技术转移业务的成功案例。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（四）有固定的营业场所，面积一般不小于150平方米（可合并计算）；有满足经营要求的办公设备和条件；有稳定的客户群及长期合作伙伴。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（五）机构部门设置及人员结构合理，有符合规定的专职人员，管理人员中具有本科以上学历人员比例不低于70%。</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（六）有高效、专业的管理团队，管理规范，规章制度健全，有明确的从事技术转移服务的章程、客户管理服务规范和程序、健全的内部管理制度。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（七）在行业内有较高的认知度和知名度；无违法违纪记录，连续多年无投诉或有投诉但机构无责任，在主流新闻媒体（网站）上没有负面报道。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（八）其他注意事项，请参照《关于印发培育发展河南省技术转移示范机构工作指引的通知》（豫科〔2016〕155号）具体要求。</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vertAlign w:val="baseline"/>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奖补政策</w:t>
      </w:r>
    </w:p>
    <w:tbl>
      <w:tblPr>
        <w:tblStyle w:val="12"/>
        <w:tblpPr w:leftFromText="180" w:rightFromText="180" w:vertAnchor="text" w:horzAnchor="page" w:tblpX="2323" w:tblpY="329"/>
        <w:tblOverlap w:val="never"/>
        <w:tblW w:w="7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214"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项目名称</w:t>
            </w:r>
          </w:p>
        </w:tc>
        <w:tc>
          <w:tcPr>
            <w:tcW w:w="3545"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市级奖补资金（万元）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4214"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color w:val="000000" w:themeColor="text1"/>
                <w:sz w:val="32"/>
                <w:szCs w:val="32"/>
                <w:lang w:eastAsia="zh-CN"/>
                <w14:textFill>
                  <w14:solidFill>
                    <w14:schemeClr w14:val="tx1"/>
                  </w14:solidFill>
                </w14:textFill>
              </w:rPr>
              <w:t>河南省技术转移示范机构</w:t>
            </w:r>
          </w:p>
        </w:tc>
        <w:tc>
          <w:tcPr>
            <w:tcW w:w="3545"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20</w:t>
            </w:r>
          </w:p>
        </w:tc>
      </w:tr>
    </w:tbl>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tabs>
          <w:tab w:val="left" w:pos="2211"/>
        </w:tabs>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b w:val="0"/>
          <w:bCs w:val="0"/>
          <w:color w:val="000000" w:themeColor="text1"/>
          <w:sz w:val="32"/>
          <w:szCs w:val="32"/>
          <w:lang w:eastAsia="zh-CN"/>
          <w14:textFill>
            <w14:solidFill>
              <w14:schemeClr w14:val="tx1"/>
            </w14:solidFill>
          </w14:textFill>
        </w:rPr>
      </w:pPr>
      <w:bookmarkStart w:id="36" w:name="_Toc8300"/>
      <w:r>
        <w:rPr>
          <w:rFonts w:hint="eastAsia" w:ascii="黑体" w:hAnsi="黑体" w:eastAsia="黑体" w:cs="黑体"/>
          <w:b w:val="0"/>
          <w:bCs w:val="0"/>
          <w:color w:val="auto"/>
          <w:sz w:val="32"/>
          <w:szCs w:val="32"/>
          <w:lang w:eastAsia="zh-CN"/>
        </w:rPr>
        <w:t>十一、安阳市技术转移示范机构</w:t>
      </w:r>
      <w:bookmarkEnd w:id="36"/>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15" w:lineRule="atLeast"/>
        <w:ind w:right="0"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申请标准：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15"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（一）符合我市产业政策，发展方向明确，有符合本机构实际情况和发展要求的经营理念。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15"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（二）有适合机构本身发展要求的独特商业模式、特色经营项目和核心竞争力，能够从技术转移服务中获取稳定的收入，并能维持其日常运营活动。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15"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（三）有一年以上从事技术转移业务的经历及开展技术转移的成功案例。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15"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（四）有固定的营业场所；有满足经营要求的办公设备和条件。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15"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（五）机构部门设置及人员结构合理，有符合规定的专职工作人员。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15"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（六）有高效、专业的管理团队，管理规范，规章制度健全，有明确的从事技术转移服务的章程、客户管理服务规范和程序、健全的内部管理制度。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15" w:lineRule="atLeas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（七）在行业内有较好的认知度；无违法违纪记录，连续多年无投诉或有投诉但机构无责任，在主流新闻媒体（网站）上没有负面报道。</w:t>
      </w:r>
    </w:p>
    <w:p>
      <w:pPr>
        <w:spacing w:line="560" w:lineRule="exact"/>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奖补政策</w:t>
      </w:r>
    </w:p>
    <w:tbl>
      <w:tblPr>
        <w:tblStyle w:val="12"/>
        <w:tblpPr w:leftFromText="180" w:rightFromText="180" w:vertAnchor="text" w:horzAnchor="page" w:tblpX="2598" w:tblpY="206"/>
        <w:tblOverlap w:val="never"/>
        <w:tblW w:w="7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4" w:type="dxa"/>
            <w:vAlign w:val="center"/>
          </w:tcPr>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项目名称</w:t>
            </w:r>
          </w:p>
        </w:tc>
        <w:tc>
          <w:tcPr>
            <w:tcW w:w="3505" w:type="dxa"/>
            <w:vAlign w:val="center"/>
          </w:tcPr>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市级奖补资金（万元）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3824" w:type="dxa"/>
            <w:vAlign w:val="center"/>
          </w:tcPr>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b w:val="0"/>
                <w:bCs w:val="0"/>
                <w:color w:val="auto"/>
                <w:sz w:val="32"/>
                <w:szCs w:val="32"/>
                <w:lang w:eastAsia="zh-CN"/>
              </w:rPr>
              <w:t>安阳市技术转移示范机构</w:t>
            </w:r>
          </w:p>
        </w:tc>
        <w:tc>
          <w:tcPr>
            <w:tcW w:w="3505" w:type="dxa"/>
            <w:vAlign w:val="center"/>
          </w:tcPr>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10</w:t>
            </w:r>
          </w:p>
        </w:tc>
      </w:tr>
    </w:tbl>
    <w:p>
      <w:pPr>
        <w:spacing w:line="560" w:lineRule="exact"/>
        <w:outlineLvl w:val="9"/>
        <w:rPr>
          <w:rFonts w:hint="eastAsia" w:ascii="宋体" w:hAnsi="宋体" w:eastAsia="宋体" w:cs="宋体"/>
          <w:b w:val="0"/>
          <w:bCs w:val="0"/>
          <w:color w:val="000000" w:themeColor="text1"/>
          <w:sz w:val="28"/>
          <w:szCs w:val="28"/>
          <w:lang w:eastAsia="zh-CN"/>
          <w14:textFill>
            <w14:solidFill>
              <w14:schemeClr w14:val="tx1"/>
            </w14:solidFill>
          </w14:textFill>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tabs>
          <w:tab w:val="left" w:pos="2211"/>
        </w:tabs>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b w:val="0"/>
          <w:bCs w:val="0"/>
          <w:color w:val="000000" w:themeColor="text1"/>
          <w:sz w:val="32"/>
          <w:szCs w:val="32"/>
          <w:lang w:eastAsia="zh-CN"/>
          <w14:textFill>
            <w14:solidFill>
              <w14:schemeClr w14:val="tx1"/>
            </w14:solidFill>
          </w14:textFill>
        </w:rPr>
      </w:pPr>
      <w:bookmarkStart w:id="37" w:name="_Toc12909"/>
      <w:r>
        <w:rPr>
          <w:rFonts w:hint="eastAsia" w:ascii="黑体" w:hAnsi="黑体" w:eastAsia="黑体" w:cs="黑体"/>
          <w:b w:val="0"/>
          <w:bCs w:val="0"/>
          <w:color w:val="000000" w:themeColor="text1"/>
          <w:sz w:val="32"/>
          <w:szCs w:val="32"/>
          <w:lang w:eastAsia="zh-CN"/>
          <w14:textFill>
            <w14:solidFill>
              <w14:schemeClr w14:val="tx1"/>
            </w14:solidFill>
          </w14:textFill>
        </w:rPr>
        <w:t>十二、河南省新型研发机构</w:t>
      </w:r>
      <w:bookmarkEnd w:id="37"/>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申请标准：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符合《河南省新型研发机构备案和绩效评价办法（试行）》（豫科﹝2019﹞10号）第五条规定。</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i w:val="0"/>
          <w:caps w:val="0"/>
          <w:color w:val="auto"/>
          <w:spacing w:val="0"/>
          <w:sz w:val="32"/>
          <w:szCs w:val="32"/>
        </w:rPr>
        <w:t>具有独立法人资格。具有企业、事业单位或民办非企业单位等独立法人资格，注册地、主要办公和科研场所均在河南省境内，且注册后运营1年以上（2019年4月1日之前注册成立）。</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（二）</w:t>
      </w:r>
      <w:r>
        <w:rPr>
          <w:rFonts w:hint="eastAsia" w:ascii="仿宋" w:hAnsi="仿宋" w:eastAsia="仿宋" w:cs="仿宋"/>
          <w:i w:val="0"/>
          <w:caps w:val="0"/>
          <w:color w:val="auto"/>
          <w:spacing w:val="0"/>
          <w:sz w:val="32"/>
          <w:szCs w:val="32"/>
        </w:rPr>
        <w:t>投资主体多元化，实行投管分离，独立核算。</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（三）</w:t>
      </w:r>
      <w:r>
        <w:rPr>
          <w:rFonts w:hint="eastAsia" w:ascii="仿宋" w:hAnsi="仿宋" w:eastAsia="仿宋" w:cs="仿宋"/>
          <w:i w:val="0"/>
          <w:caps w:val="0"/>
          <w:color w:val="auto"/>
          <w:spacing w:val="0"/>
          <w:sz w:val="32"/>
          <w:szCs w:val="32"/>
        </w:rPr>
        <w:t>业务发展方向明确。符合地方经济发展需求，科技成果转化、创业与孵化育成方面有鲜明特色。</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（四）</w:t>
      </w:r>
      <w:r>
        <w:rPr>
          <w:rFonts w:hint="eastAsia" w:ascii="仿宋" w:hAnsi="仿宋" w:eastAsia="仿宋" w:cs="仿宋"/>
          <w:i w:val="0"/>
          <w:caps w:val="0"/>
          <w:color w:val="auto"/>
          <w:spacing w:val="0"/>
          <w:sz w:val="32"/>
          <w:szCs w:val="32"/>
        </w:rPr>
        <w:t>具有稳定的研发经费来源。成立当年组建单位能够给予研发经费保障，以后年度研究开发经费支出不低于年收入总额的15%。</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（五）</w:t>
      </w:r>
      <w:r>
        <w:rPr>
          <w:rFonts w:hint="eastAsia" w:ascii="仿宋" w:hAnsi="仿宋" w:eastAsia="仿宋" w:cs="仿宋"/>
          <w:i w:val="0"/>
          <w:caps w:val="0"/>
          <w:color w:val="auto"/>
          <w:spacing w:val="0"/>
          <w:sz w:val="32"/>
          <w:szCs w:val="32"/>
        </w:rPr>
        <w:t>具有一定的研发基础条件。具备进行研究、开发和试验所需要的仪器、装备和固定场地等基础设施，办公和科研场所不少于500平方米；拥有必要的测试、分析手段和工艺设备，且用于研究开发的仪器设备原值不低于500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i w:val="0"/>
          <w:caps w:val="0"/>
          <w:color w:val="auto"/>
          <w:spacing w:val="0"/>
          <w:sz w:val="32"/>
          <w:szCs w:val="32"/>
          <w:lang w:eastAsia="zh-CN"/>
        </w:rPr>
        <w:t>（六）</w:t>
      </w:r>
      <w:r>
        <w:rPr>
          <w:rFonts w:hint="eastAsia" w:ascii="仿宋" w:hAnsi="仿宋" w:eastAsia="仿宋" w:cs="仿宋"/>
          <w:i w:val="0"/>
          <w:caps w:val="0"/>
          <w:color w:val="auto"/>
          <w:spacing w:val="0"/>
          <w:sz w:val="32"/>
          <w:szCs w:val="32"/>
        </w:rPr>
        <w:t>具有稳定的研发队伍。研发人员不少于10人，占职工总人数比例达到30%以上。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i w:val="0"/>
          <w:caps w:val="0"/>
          <w:color w:val="auto"/>
          <w:spacing w:val="0"/>
          <w:sz w:val="32"/>
          <w:szCs w:val="32"/>
          <w:lang w:eastAsia="zh-CN"/>
        </w:rPr>
        <w:t>（七）</w:t>
      </w:r>
      <w:r>
        <w:rPr>
          <w:rFonts w:hint="eastAsia" w:ascii="仿宋" w:hAnsi="仿宋" w:eastAsia="仿宋" w:cs="仿宋"/>
          <w:i w:val="0"/>
          <w:caps w:val="0"/>
          <w:color w:val="auto"/>
          <w:spacing w:val="0"/>
          <w:sz w:val="32"/>
          <w:szCs w:val="32"/>
        </w:rPr>
        <w:t>具有新颖的体制机制。具有区别于传统科研机构的新型科研管理体制、市场化的人员激励机制、高效的创新组织模式和灵活的成果转化机制，集聚国内外科技资源，在创新创业和孵化育成方面工作积极有效。</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lang w:val="en-US" w:eastAsia="zh-CN"/>
        </w:rPr>
        <w:t xml:space="preserve">   （八）</w:t>
      </w:r>
      <w:r>
        <w:rPr>
          <w:rFonts w:hint="eastAsia" w:ascii="仿宋" w:hAnsi="仿宋" w:eastAsia="仿宋" w:cs="仿宋"/>
          <w:i w:val="0"/>
          <w:caps w:val="0"/>
          <w:color w:val="auto"/>
          <w:spacing w:val="0"/>
          <w:sz w:val="32"/>
          <w:szCs w:val="32"/>
        </w:rPr>
        <w:t>主要从事生产制造、教学培训、园区管理等活动，以及单纯从事检验检测活动的单位原则上不予受理。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奖补政策</w:t>
      </w:r>
    </w:p>
    <w:tbl>
      <w:tblPr>
        <w:tblStyle w:val="12"/>
        <w:tblpPr w:leftFromText="180" w:rightFromText="180" w:vertAnchor="text" w:horzAnchor="page" w:tblpXSpec="center" w:tblpY="707"/>
        <w:tblOverlap w:val="never"/>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3186"/>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927" w:type="dxa"/>
            <w:vAlign w:val="center"/>
          </w:tcPr>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项目名称</w:t>
            </w:r>
          </w:p>
        </w:tc>
        <w:tc>
          <w:tcPr>
            <w:tcW w:w="3186" w:type="dxa"/>
            <w:vAlign w:val="center"/>
          </w:tcPr>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省级奖补资金（万元）</w:t>
            </w:r>
          </w:p>
        </w:tc>
        <w:tc>
          <w:tcPr>
            <w:tcW w:w="3186" w:type="dxa"/>
            <w:vAlign w:val="center"/>
          </w:tcPr>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市级奖补资金（万元）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2927" w:type="dxa"/>
            <w:vAlign w:val="center"/>
          </w:tcPr>
          <w:p>
            <w:pPr>
              <w:tabs>
                <w:tab w:val="left" w:pos="2211"/>
              </w:tabs>
              <w:bidi w:val="0"/>
              <w:jc w:val="center"/>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河南省新型研发机构</w:t>
            </w:r>
          </w:p>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p>
        </w:tc>
        <w:tc>
          <w:tcPr>
            <w:tcW w:w="3186" w:type="dxa"/>
            <w:vAlign w:val="center"/>
          </w:tcPr>
          <w:p>
            <w:pPr>
              <w:numPr>
                <w:ilvl w:val="0"/>
                <w:numId w:val="0"/>
              </w:numPr>
              <w:jc w:val="center"/>
              <w:rPr>
                <w:rFonts w:hint="eastAsia" w:ascii="仿宋" w:hAnsi="仿宋" w:eastAsia="仿宋" w:cs="仿宋"/>
                <w:color w:val="000000"/>
                <w:kern w:val="0"/>
                <w:sz w:val="32"/>
                <w:szCs w:val="32"/>
              </w:rPr>
            </w:pPr>
          </w:p>
          <w:p>
            <w:pPr>
              <w:numPr>
                <w:ilvl w:val="0"/>
                <w:numId w:val="0"/>
              </w:numPr>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省财政给予最高不超过500万元的奖励</w:t>
            </w:r>
          </w:p>
          <w:p>
            <w:pPr>
              <w:tabs>
                <w:tab w:val="left" w:pos="2211"/>
              </w:tabs>
              <w:bidi w:val="0"/>
              <w:jc w:val="center"/>
              <w:rPr>
                <w:rFonts w:hint="eastAsia" w:ascii="仿宋" w:hAnsi="仿宋" w:eastAsia="仿宋" w:cs="仿宋"/>
                <w:i w:val="0"/>
                <w:caps w:val="0"/>
                <w:color w:val="auto"/>
                <w:spacing w:val="0"/>
                <w:sz w:val="32"/>
                <w:szCs w:val="32"/>
                <w:shd w:val="clear" w:color="auto" w:fill="auto"/>
                <w:vertAlign w:val="baseline"/>
                <w:lang w:val="en-US" w:eastAsia="zh-CN"/>
              </w:rPr>
            </w:pPr>
          </w:p>
        </w:tc>
        <w:tc>
          <w:tcPr>
            <w:tcW w:w="3186" w:type="dxa"/>
            <w:vAlign w:val="center"/>
          </w:tcPr>
          <w:p>
            <w:pPr>
              <w:tabs>
                <w:tab w:val="left" w:pos="2211"/>
              </w:tabs>
              <w:bidi w:val="0"/>
              <w:jc w:val="center"/>
              <w:rPr>
                <w:rFonts w:hint="default" w:ascii="仿宋" w:hAnsi="仿宋" w:eastAsia="仿宋" w:cs="仿宋"/>
                <w:i w:val="0"/>
                <w:caps w:val="0"/>
                <w:color w:val="auto"/>
                <w:spacing w:val="0"/>
                <w:sz w:val="32"/>
                <w:szCs w:val="32"/>
                <w:shd w:val="clear" w:color="auto" w:fill="auto"/>
                <w:vertAlign w:val="baseline"/>
                <w:lang w:val="en-US" w:eastAsia="zh-CN"/>
              </w:rPr>
            </w:pPr>
            <w:r>
              <w:rPr>
                <w:rFonts w:hint="eastAsia" w:ascii="仿宋" w:hAnsi="仿宋" w:eastAsia="仿宋" w:cs="仿宋"/>
                <w:i w:val="0"/>
                <w:caps w:val="0"/>
                <w:color w:val="auto"/>
                <w:spacing w:val="0"/>
                <w:sz w:val="32"/>
                <w:szCs w:val="32"/>
                <w:shd w:val="clear" w:color="auto" w:fill="auto"/>
                <w:vertAlign w:val="baseline"/>
                <w:lang w:val="en-US" w:eastAsia="zh-CN"/>
              </w:rPr>
              <w:t>市财政对新型研发机构上年度非财政经费支出额度在50万元以上的，可给予不超过20%、最高1000万元的补助。</w:t>
            </w:r>
          </w:p>
        </w:tc>
      </w:tr>
    </w:tbl>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tabs>
          <w:tab w:val="left" w:pos="2211"/>
        </w:tabs>
        <w:bidi w:val="0"/>
        <w:ind w:firstLine="560" w:firstLineChars="200"/>
        <w:jc w:val="left"/>
        <w:rPr>
          <w:rFonts w:hint="eastAsia" w:ascii="宋体" w:hAnsi="宋体" w:eastAsia="宋体" w:cs="宋体"/>
          <w:i w:val="0"/>
          <w:caps w:val="0"/>
          <w:color w:val="auto"/>
          <w:spacing w:val="0"/>
          <w:sz w:val="28"/>
          <w:szCs w:val="28"/>
          <w:shd w:val="clear" w:color="auto" w:fill="auto"/>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tabs>
          <w:tab w:val="left" w:pos="2211"/>
        </w:tabs>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b w:val="0"/>
          <w:bCs w:val="0"/>
          <w:color w:val="000000" w:themeColor="text1"/>
          <w:sz w:val="32"/>
          <w:szCs w:val="32"/>
          <w:lang w:eastAsia="zh-CN"/>
          <w14:textFill>
            <w14:solidFill>
              <w14:schemeClr w14:val="tx1"/>
            </w14:solidFill>
          </w14:textFill>
        </w:rPr>
      </w:pPr>
      <w:bookmarkStart w:id="38" w:name="_Toc21242"/>
      <w:r>
        <w:rPr>
          <w:rFonts w:hint="eastAsia" w:ascii="黑体" w:hAnsi="黑体" w:eastAsia="黑体" w:cs="黑体"/>
          <w:b w:val="0"/>
          <w:bCs w:val="0"/>
          <w:color w:val="auto"/>
          <w:sz w:val="32"/>
          <w:szCs w:val="32"/>
          <w:lang w:eastAsia="zh-CN"/>
        </w:rPr>
        <w:t>十三、安阳市新型研发机构</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b w:val="0"/>
          <w:bCs w:val="0"/>
          <w:color w:val="000000" w:themeColor="text1"/>
          <w:sz w:val="32"/>
          <w:szCs w:val="32"/>
          <w:lang w:eastAsia="zh-CN"/>
          <w14:textFill>
            <w14:solidFill>
              <w14:schemeClr w14:val="tx1"/>
            </w14:solidFill>
          </w14:textFill>
        </w:rPr>
      </w:pPr>
      <w:bookmarkStart w:id="39" w:name="_Toc32406"/>
      <w:r>
        <w:rPr>
          <w:rFonts w:hint="eastAsia" w:ascii="仿宋" w:hAnsi="仿宋" w:eastAsia="仿宋" w:cs="仿宋"/>
          <w:b w:val="0"/>
          <w:bCs w:val="0"/>
          <w:color w:val="000000" w:themeColor="text1"/>
          <w:sz w:val="32"/>
          <w:szCs w:val="32"/>
          <w:lang w:eastAsia="zh-CN"/>
          <w14:textFill>
            <w14:solidFill>
              <w14:schemeClr w14:val="tx1"/>
            </w14:solidFill>
          </w14:textFill>
        </w:rPr>
        <w:t>申请标准：</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40" w:name="_Toc24876"/>
      <w:r>
        <w:rPr>
          <w:rFonts w:hint="eastAsia" w:ascii="仿宋" w:hAnsi="仿宋" w:eastAsia="仿宋" w:cs="仿宋"/>
          <w:i w:val="0"/>
          <w:caps w:val="0"/>
          <w:color w:val="auto"/>
          <w:spacing w:val="0"/>
          <w:sz w:val="32"/>
          <w:szCs w:val="32"/>
          <w:lang w:eastAsia="zh-CN"/>
        </w:rPr>
        <w:t>（一）</w:t>
      </w:r>
      <w:r>
        <w:rPr>
          <w:rFonts w:hint="eastAsia" w:ascii="仿宋" w:hAnsi="仿宋" w:eastAsia="仿宋" w:cs="仿宋"/>
          <w:i w:val="0"/>
          <w:caps w:val="0"/>
          <w:color w:val="auto"/>
          <w:spacing w:val="0"/>
          <w:sz w:val="32"/>
          <w:szCs w:val="32"/>
        </w:rPr>
        <w:t>具有独立法人资格。具有企业、事业单位或民办非企业单位等独立法人资格，注册地、主要办公和科研场所均在我市。</w:t>
      </w:r>
      <w:bookmarkEnd w:id="40"/>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（二）</w:t>
      </w:r>
      <w:r>
        <w:rPr>
          <w:rFonts w:hint="eastAsia" w:ascii="仿宋" w:hAnsi="仿宋" w:eastAsia="仿宋" w:cs="仿宋"/>
          <w:i w:val="0"/>
          <w:caps w:val="0"/>
          <w:color w:val="auto"/>
          <w:spacing w:val="0"/>
          <w:sz w:val="32"/>
          <w:szCs w:val="32"/>
        </w:rPr>
        <w:t>投资主体多元化，实行投管分离，独立核算。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（三）</w:t>
      </w:r>
      <w:r>
        <w:rPr>
          <w:rFonts w:hint="eastAsia" w:ascii="仿宋" w:hAnsi="仿宋" w:eastAsia="仿宋" w:cs="仿宋"/>
          <w:i w:val="0"/>
          <w:caps w:val="0"/>
          <w:color w:val="auto"/>
          <w:spacing w:val="0"/>
          <w:sz w:val="32"/>
          <w:szCs w:val="32"/>
        </w:rPr>
        <w:t>业务发展方向明确。符合我市地方经济发展需求，科技成果转化、创业与孵化育成方面有鲜明特色。</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（四）</w:t>
      </w:r>
      <w:r>
        <w:rPr>
          <w:rFonts w:hint="eastAsia" w:ascii="仿宋" w:hAnsi="仿宋" w:eastAsia="仿宋" w:cs="仿宋"/>
          <w:i w:val="0"/>
          <w:caps w:val="0"/>
          <w:color w:val="auto"/>
          <w:spacing w:val="0"/>
          <w:sz w:val="32"/>
          <w:szCs w:val="32"/>
        </w:rPr>
        <w:t>具有稳定的研发经费来源，能够给予研发经费保障。上年度研究开发经费支出占年销售收入比例大于15%。</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（五）</w:t>
      </w:r>
      <w:r>
        <w:rPr>
          <w:rFonts w:hint="eastAsia" w:ascii="仿宋" w:hAnsi="仿宋" w:eastAsia="仿宋" w:cs="仿宋"/>
          <w:i w:val="0"/>
          <w:caps w:val="0"/>
          <w:color w:val="auto"/>
          <w:spacing w:val="0"/>
          <w:sz w:val="32"/>
          <w:szCs w:val="32"/>
        </w:rPr>
        <w:t>具有一定的研发基础条件。具备进行研究、开发和试验所需要的仪器、装备和固定场地等基础设施，办公和科研场所不少于300平方米；拥有必要的测试、分析手段和工艺设备，且用于研究开发的仪器设备原值不低于300万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（六）</w:t>
      </w:r>
      <w:r>
        <w:rPr>
          <w:rFonts w:hint="eastAsia" w:ascii="仿宋" w:hAnsi="仿宋" w:eastAsia="仿宋" w:cs="仿宋"/>
          <w:i w:val="0"/>
          <w:caps w:val="0"/>
          <w:color w:val="auto"/>
          <w:spacing w:val="0"/>
          <w:sz w:val="32"/>
          <w:szCs w:val="32"/>
        </w:rPr>
        <w:t>具有稳定的研发队伍。研发人员不少于10人，占职工总人数比例达到30%以上。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（七）</w:t>
      </w:r>
      <w:r>
        <w:rPr>
          <w:rFonts w:hint="eastAsia" w:ascii="仿宋" w:hAnsi="仿宋" w:eastAsia="仿宋" w:cs="仿宋"/>
          <w:i w:val="0"/>
          <w:caps w:val="0"/>
          <w:color w:val="auto"/>
          <w:spacing w:val="0"/>
          <w:sz w:val="32"/>
          <w:szCs w:val="32"/>
        </w:rPr>
        <w:t>具有新颖的体制机制。具有区别于传统科研机构的新型科研管理体制、市场化的人员激励机制、高效的创新组织模式和灵活的成果转化机制，集聚国内外科技资源，在创新创业和孵化育成方面工作积极有效。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41" w:name="_Toc8599"/>
      <w:r>
        <w:rPr>
          <w:rFonts w:hint="eastAsia" w:ascii="仿宋" w:hAnsi="仿宋" w:eastAsia="仿宋" w:cs="仿宋"/>
          <w:i w:val="0"/>
          <w:caps w:val="0"/>
          <w:color w:val="auto"/>
          <w:spacing w:val="0"/>
          <w:sz w:val="32"/>
          <w:szCs w:val="32"/>
        </w:rPr>
        <w:t>主要从事生产制造、教学培训、园区管理等活动，以及单纯从事检验检测活动的单位原则上不予受理。</w:t>
      </w:r>
      <w:bookmarkEnd w:id="41"/>
    </w:p>
    <w:p>
      <w:pPr>
        <w:spacing w:line="560" w:lineRule="exact"/>
        <w:ind w:firstLine="560" w:firstLineChars="200"/>
        <w:outlineLvl w:val="9"/>
        <w:rPr>
          <w:rFonts w:hint="eastAsia" w:ascii="宋体" w:hAnsi="宋体" w:eastAsia="宋体" w:cs="宋体"/>
          <w:i w:val="0"/>
          <w:caps w:val="0"/>
          <w:color w:val="auto"/>
          <w:spacing w:val="0"/>
          <w:sz w:val="28"/>
          <w:szCs w:val="28"/>
        </w:rPr>
      </w:pPr>
    </w:p>
    <w:p>
      <w:pPr>
        <w:keepNext w:val="0"/>
        <w:keepLines w:val="0"/>
        <w:pageBreakBefore w:val="0"/>
        <w:widowControl w:val="0"/>
        <w:tabs>
          <w:tab w:val="left" w:pos="2211"/>
        </w:tabs>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b w:val="0"/>
          <w:bCs w:val="0"/>
          <w:color w:val="auto"/>
          <w:sz w:val="32"/>
          <w:szCs w:val="32"/>
          <w:lang w:eastAsia="zh-CN"/>
        </w:rPr>
      </w:pPr>
      <w:bookmarkStart w:id="42" w:name="_Toc7806"/>
      <w:r>
        <w:rPr>
          <w:rFonts w:hint="eastAsia" w:ascii="黑体" w:hAnsi="黑体" w:eastAsia="黑体" w:cs="黑体"/>
          <w:b w:val="0"/>
          <w:bCs w:val="0"/>
          <w:color w:val="auto"/>
          <w:sz w:val="32"/>
          <w:szCs w:val="32"/>
          <w:lang w:eastAsia="zh-CN"/>
        </w:rPr>
        <w:t>十四、</w:t>
      </w:r>
      <w:r>
        <w:rPr>
          <w:rFonts w:hint="eastAsia" w:ascii="黑体" w:hAnsi="黑体" w:eastAsia="黑体" w:cs="黑体"/>
          <w:b w:val="0"/>
          <w:bCs w:val="0"/>
          <w:color w:val="auto"/>
          <w:sz w:val="32"/>
          <w:szCs w:val="32"/>
        </w:rPr>
        <w:t>河南省“专精特新”中小企业</w:t>
      </w:r>
      <w:bookmarkEnd w:id="4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申请标准：</w:t>
      </w:r>
    </w:p>
    <w:p>
      <w:pPr>
        <w:ind w:firstLine="640" w:firstLineChars="200"/>
        <w:outlineLvl w:val="1"/>
        <w:rPr>
          <w:rFonts w:hint="eastAsia" w:ascii="仿宋" w:hAnsi="仿宋" w:eastAsia="仿宋" w:cs="仿宋"/>
          <w:color w:val="auto"/>
          <w:sz w:val="32"/>
          <w:szCs w:val="32"/>
        </w:rPr>
      </w:pPr>
      <w:bookmarkStart w:id="43" w:name="_Toc18759"/>
      <w:r>
        <w:rPr>
          <w:rFonts w:hint="eastAsia" w:ascii="仿宋" w:hAnsi="仿宋" w:eastAsia="仿宋" w:cs="仿宋"/>
          <w:color w:val="auto"/>
          <w:sz w:val="32"/>
          <w:szCs w:val="32"/>
        </w:rPr>
        <w:t>（一）基本条件</w:t>
      </w:r>
      <w:bookmarkEnd w:id="43"/>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在省内工商注册登记存续三年以上；近两年营业收入均不少于1000万元；近两年主营业务收入或净利润的平均增长率不低于10％；近两年研发经费支出占营业收入平均比重不低于3%。</w:t>
      </w:r>
    </w:p>
    <w:p>
      <w:pPr>
        <w:ind w:firstLine="560"/>
        <w:outlineLvl w:val="1"/>
        <w:rPr>
          <w:rFonts w:hint="eastAsia" w:ascii="仿宋" w:hAnsi="仿宋" w:eastAsia="仿宋" w:cs="仿宋"/>
          <w:color w:val="auto"/>
          <w:sz w:val="32"/>
          <w:szCs w:val="32"/>
        </w:rPr>
      </w:pPr>
      <w:bookmarkStart w:id="44" w:name="_Toc4260"/>
      <w:r>
        <w:rPr>
          <w:rFonts w:hint="eastAsia" w:ascii="仿宋" w:hAnsi="仿宋" w:eastAsia="仿宋" w:cs="仿宋"/>
          <w:color w:val="auto"/>
          <w:sz w:val="32"/>
          <w:szCs w:val="32"/>
        </w:rPr>
        <w:t>（二）专项条件（至少1项符合）</w:t>
      </w:r>
      <w:bookmarkEnd w:id="44"/>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专业化。主营业务收入占本企业营业收入的70%以上；企业设立研发机构，具备完成技术创新任务所必备的技术开发仪器设备条件或环境（牵头创建制造业创新中心，设立技术研究院、企业技术中心、企业工程中心、院士专家工作站、博士后科研工作站、博士后创新实践基地等）；近两年内主持或者参与制（修）订国家标准或行业标准；为大企业或龙头企业配套生产关键零部件、元器件。</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精细化。企业采用流程化、标准化和信息化等方式使组织管理精确、高效、协同，实现精细化生产、管理和服务；主攻某一特殊的客户群、某一产品的细分区段，主导产品享有较高知名度，且细分市场占有率在全省前5位。</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3．特色化。产品或服务具有独特性、独有性、独家生产的特点，或具有典型的资源、地域特色，能够带动本地特色产业的规模及影响力；掌握自主知识产权或先进知识，拥有在有效期内的发明专利2项以上（含2项）、实用新型专利或外观设计专利5项以上（含5项）；企业获得省级及以上质量标杆、名牌产品或驰名商标等荣誉（称号）1项以上。</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4．新颖化。拥有强大原创能力、创新活力和价值潜力，采用现代信息技术，进行资源的嫁接，对产品和服务提供的手段、形式、渠道进行创新；具有一定规模的估值和融资吸引力，符合“新技术、新产业、新业态、新模式”等四新经济发展特征。</w:t>
      </w:r>
    </w:p>
    <w:p>
      <w:pPr>
        <w:outlineLvl w:val="1"/>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bookmarkStart w:id="45" w:name="_Toc7892"/>
      <w:r>
        <w:rPr>
          <w:rFonts w:hint="eastAsia" w:ascii="仿宋" w:hAnsi="仿宋" w:eastAsia="仿宋" w:cs="仿宋"/>
          <w:color w:val="auto"/>
          <w:sz w:val="32"/>
          <w:szCs w:val="32"/>
        </w:rPr>
        <w:t>（三）限制条件</w:t>
      </w:r>
      <w:bookmarkEnd w:id="45"/>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有下列情况之一的企业，不得认定河南省“专精特新”中小企业：</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1．近三年发生生产安全、质量、环境污染等重特大事故； </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2．企业被列入经营异常、失信企业名单，企业法定代表人或实际控制人被纳入失信被执行人名单；</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3．有偷税漏税等重大违法行为。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right="0"/>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奖补政策：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right="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区级5万元</w:t>
      </w:r>
    </w:p>
    <w:p>
      <w:pPr>
        <w:tabs>
          <w:tab w:val="left" w:pos="2211"/>
        </w:tabs>
        <w:bidi w:val="0"/>
        <w:jc w:val="left"/>
        <w:rPr>
          <w:rFonts w:hint="eastAsia" w:asciiTheme="minorEastAsia" w:hAnsiTheme="minorEastAsia" w:eastAsiaTheme="minorEastAsia" w:cstheme="minorEastAsia"/>
          <w:b w:val="0"/>
          <w:bCs w:val="0"/>
          <w:color w:val="auto"/>
          <w:sz w:val="28"/>
          <w:szCs w:val="28"/>
          <w:vertAlign w:val="baseline"/>
          <w:lang w:val="en-US" w:eastAsia="zh-CN"/>
        </w:rPr>
      </w:pPr>
    </w:p>
    <w:p>
      <w:pPr>
        <w:tabs>
          <w:tab w:val="left" w:pos="2211"/>
        </w:tabs>
        <w:bidi w:val="0"/>
        <w:jc w:val="left"/>
        <w:rPr>
          <w:rFonts w:hint="eastAsia" w:asciiTheme="minorEastAsia" w:hAnsiTheme="minorEastAsia" w:eastAsiaTheme="minorEastAsia" w:cstheme="minorEastAsia"/>
          <w:b w:val="0"/>
          <w:bCs w:val="0"/>
          <w:color w:val="auto"/>
          <w:sz w:val="28"/>
          <w:szCs w:val="28"/>
          <w:vertAlign w:val="baseline"/>
          <w:lang w:val="en-US" w:eastAsia="zh-CN"/>
        </w:rPr>
      </w:pPr>
    </w:p>
    <w:p>
      <w:pPr>
        <w:tabs>
          <w:tab w:val="left" w:pos="2211"/>
        </w:tabs>
        <w:bidi w:val="0"/>
        <w:jc w:val="left"/>
        <w:rPr>
          <w:rFonts w:hint="eastAsia" w:asciiTheme="minorEastAsia" w:hAnsiTheme="minorEastAsia" w:eastAsiaTheme="minorEastAsia" w:cstheme="minorEastAsia"/>
          <w:b w:val="0"/>
          <w:bCs w:val="0"/>
          <w:color w:val="auto"/>
          <w:sz w:val="28"/>
          <w:szCs w:val="28"/>
          <w:vertAlign w:val="baseline"/>
          <w:lang w:val="en-US" w:eastAsia="zh-CN"/>
        </w:rPr>
      </w:pPr>
    </w:p>
    <w:p>
      <w:pPr>
        <w:keepNext w:val="0"/>
        <w:keepLines w:val="0"/>
        <w:pageBreakBefore w:val="0"/>
        <w:widowControl w:val="0"/>
        <w:tabs>
          <w:tab w:val="left" w:pos="2211"/>
        </w:tabs>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b w:val="0"/>
          <w:bCs w:val="0"/>
          <w:color w:val="auto"/>
          <w:sz w:val="32"/>
          <w:szCs w:val="32"/>
          <w:lang w:eastAsia="zh-CN"/>
        </w:rPr>
      </w:pPr>
      <w:bookmarkStart w:id="46" w:name="_Toc21789"/>
      <w:r>
        <w:rPr>
          <w:rFonts w:hint="eastAsia" w:ascii="黑体" w:hAnsi="黑体" w:eastAsia="黑体" w:cs="黑体"/>
          <w:b w:val="0"/>
          <w:bCs w:val="0"/>
          <w:color w:val="auto"/>
          <w:sz w:val="32"/>
          <w:szCs w:val="32"/>
          <w:vertAlign w:val="baseline"/>
          <w:lang w:val="en-US" w:eastAsia="zh-CN"/>
        </w:rPr>
        <w:t>十五、工信部专精特新“小巨人”企业</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b w:val="0"/>
          <w:bCs w:val="0"/>
          <w:color w:val="auto"/>
          <w:sz w:val="32"/>
          <w:szCs w:val="32"/>
          <w:lang w:eastAsia="zh-CN"/>
        </w:rPr>
      </w:pPr>
      <w:bookmarkStart w:id="47" w:name="_Toc9895"/>
      <w:r>
        <w:rPr>
          <w:rFonts w:hint="eastAsia" w:ascii="仿宋" w:hAnsi="仿宋" w:eastAsia="仿宋" w:cs="仿宋"/>
          <w:b w:val="0"/>
          <w:bCs w:val="0"/>
          <w:color w:val="auto"/>
          <w:sz w:val="32"/>
          <w:szCs w:val="32"/>
          <w:lang w:eastAsia="zh-CN"/>
        </w:rPr>
        <w:t>申请标准：</w:t>
      </w:r>
      <w:bookmarkEnd w:id="47"/>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48" w:name="_Toc20489"/>
      <w:r>
        <w:rPr>
          <w:rFonts w:hint="eastAsia" w:ascii="仿宋" w:hAnsi="仿宋" w:eastAsia="仿宋" w:cs="仿宋"/>
          <w:i w:val="0"/>
          <w:caps w:val="0"/>
          <w:color w:val="auto"/>
          <w:spacing w:val="0"/>
          <w:sz w:val="32"/>
          <w:szCs w:val="32"/>
        </w:rPr>
        <w:t>基本条件。</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49" w:name="_Toc18514"/>
      <w:r>
        <w:rPr>
          <w:rFonts w:hint="eastAsia" w:ascii="仿宋" w:hAnsi="仿宋" w:eastAsia="仿宋" w:cs="仿宋"/>
          <w:i w:val="0"/>
          <w:caps w:val="0"/>
          <w:color w:val="auto"/>
          <w:spacing w:val="0"/>
          <w:sz w:val="32"/>
          <w:szCs w:val="32"/>
          <w:lang w:val="en-US" w:eastAsia="zh-CN"/>
        </w:rPr>
        <w:t>1.</w:t>
      </w:r>
      <w:r>
        <w:rPr>
          <w:rFonts w:hint="eastAsia" w:ascii="仿宋" w:hAnsi="仿宋" w:eastAsia="仿宋" w:cs="仿宋"/>
          <w:i w:val="0"/>
          <w:caps w:val="0"/>
          <w:color w:val="auto"/>
          <w:spacing w:val="0"/>
          <w:sz w:val="32"/>
          <w:szCs w:val="32"/>
        </w:rPr>
        <w:t>在中华人民共和国境内工商注册登记、连续经营3年以上并具有独立法人资格的中小企业，符合《中小企业划型标准规定》（工信部联企业〔2011〕300号）规定，属于省级中小企业主管部门认定或重点培育的“专精特新”中小企业、拥有被认定为“专精特新”产品的中小企业以及其他创新能力强、市场竞争优势突出的中小企业。</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50" w:name="_Toc22239"/>
      <w:r>
        <w:rPr>
          <w:rFonts w:hint="eastAsia" w:ascii="仿宋" w:hAnsi="仿宋" w:eastAsia="仿宋" w:cs="仿宋"/>
          <w:i w:val="0"/>
          <w:caps w:val="0"/>
          <w:color w:val="auto"/>
          <w:spacing w:val="0"/>
          <w:sz w:val="32"/>
          <w:szCs w:val="32"/>
        </w:rPr>
        <w:t>2.坚持专业化发展战略，长期专注并深耕于产业链某一环节或某一产品，能为大企业、大项目提供关键零部件、元器件和配套产品以及专业生产的成套产品。企业主导产品在国内细分行业中拥有较高的市场份额。</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51" w:name="_Toc1776"/>
      <w:r>
        <w:rPr>
          <w:rFonts w:hint="eastAsia" w:ascii="仿宋" w:hAnsi="仿宋" w:eastAsia="仿宋" w:cs="仿宋"/>
          <w:i w:val="0"/>
          <w:caps w:val="0"/>
          <w:color w:val="auto"/>
          <w:spacing w:val="0"/>
          <w:sz w:val="32"/>
          <w:szCs w:val="32"/>
        </w:rPr>
        <w:t>3.具有持续创新能力，在研发设计、生产制造、市场营销、内部管理等方面不断创新并取得比较显著的效益，具有一定的示范推广价值。</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52" w:name="_Toc24002"/>
      <w:r>
        <w:rPr>
          <w:rFonts w:hint="eastAsia" w:ascii="仿宋" w:hAnsi="仿宋" w:eastAsia="仿宋" w:cs="仿宋"/>
          <w:i w:val="0"/>
          <w:caps w:val="0"/>
          <w:color w:val="auto"/>
          <w:spacing w:val="0"/>
          <w:sz w:val="32"/>
          <w:szCs w:val="32"/>
        </w:rPr>
        <w:t>4.管理规范、信誉良好、社会责任感强，生产技术、工艺及产品质量性能国内领先，具有较好的品牌影响力。企业重视并实施长期发展战略，重视人才队伍建设，核心团队具有较好专业背景和较强生产经营能力，有发展成为相关领域国际领先企业的潜力。</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有下列情况之一的企业，不得被推荐：申请过程中提供虚假信息的；近三年发生过安全、质量、环境污染事故的；有偷漏税和其他违法违规、严重失信行为的。</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53" w:name="_Toc30125"/>
      <w:r>
        <w:rPr>
          <w:rFonts w:hint="eastAsia" w:ascii="仿宋" w:hAnsi="仿宋" w:eastAsia="仿宋" w:cs="仿宋"/>
          <w:i w:val="0"/>
          <w:caps w:val="0"/>
          <w:color w:val="auto"/>
          <w:spacing w:val="0"/>
          <w:sz w:val="32"/>
          <w:szCs w:val="32"/>
        </w:rPr>
        <w:t>（二）重点领域。</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专精特新“小巨人”企业主导产品应符合《工业“四基”发展目录》所列重点领域，从事细分产品市场属于制造业核心基础零部件、先进基础工艺和关键基础材料；或符合制造强国战略明确的十大重点产业领域，属于重点领域技术路线图中有关产品；或属于产业链供应链关键环节及关键领域“补短板”产品；或属于国家和各省（区、市）重点鼓励发展的支柱和优势特色产业等领域。</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（三）专项条件。</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54" w:name="_Toc9342"/>
      <w:r>
        <w:rPr>
          <w:rFonts w:hint="eastAsia" w:ascii="仿宋" w:hAnsi="仿宋" w:eastAsia="仿宋" w:cs="仿宋"/>
          <w:i w:val="0"/>
          <w:caps w:val="0"/>
          <w:color w:val="auto"/>
          <w:spacing w:val="0"/>
          <w:sz w:val="32"/>
          <w:szCs w:val="32"/>
        </w:rPr>
        <w:t>1.经济效益。上年度企业营业收入在1亿元以上，近2年主营业务收入或净利润的平均增长率达到10%以上，企业资产负债率不高于70%。</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55" w:name="_Toc4419"/>
      <w:r>
        <w:rPr>
          <w:rFonts w:hint="eastAsia" w:ascii="仿宋" w:hAnsi="仿宋" w:eastAsia="仿宋" w:cs="仿宋"/>
          <w:i w:val="0"/>
          <w:caps w:val="0"/>
          <w:color w:val="auto"/>
          <w:spacing w:val="0"/>
          <w:sz w:val="32"/>
          <w:szCs w:val="32"/>
        </w:rPr>
        <w:t>2.专业化程度。企业从事特定细分市场时间达到3年及以上，其主营业务收入占营业收入70%以上，主导产品享有较高知名度，且细分市场占有率位于全省前3位（如有多个主要产品的，产品之间应有直接关联性）。</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i w:val="0"/>
          <w:caps w:val="0"/>
          <w:color w:val="auto"/>
          <w:spacing w:val="0"/>
          <w:sz w:val="32"/>
          <w:szCs w:val="32"/>
        </w:rPr>
      </w:pPr>
      <w:bookmarkStart w:id="56" w:name="_Toc2169"/>
      <w:r>
        <w:rPr>
          <w:rFonts w:hint="eastAsia" w:ascii="仿宋" w:hAnsi="仿宋" w:eastAsia="仿宋" w:cs="仿宋"/>
          <w:i w:val="0"/>
          <w:caps w:val="0"/>
          <w:color w:val="auto"/>
          <w:spacing w:val="0"/>
          <w:sz w:val="32"/>
          <w:szCs w:val="32"/>
        </w:rPr>
        <w:t>3.创新能力。近2年企业研发经费支出占营业收入比重不低于3%，从事研发和相关技术创新活动的科技人员占企业职工总数的比例不低于15%。截至</w:t>
      </w:r>
      <w:r>
        <w:rPr>
          <w:rFonts w:hint="eastAsia" w:ascii="仿宋" w:hAnsi="仿宋" w:eastAsia="仿宋" w:cs="仿宋"/>
          <w:i w:val="0"/>
          <w:caps w:val="0"/>
          <w:color w:val="auto"/>
          <w:spacing w:val="0"/>
          <w:sz w:val="32"/>
          <w:szCs w:val="32"/>
          <w:lang w:eastAsia="zh-CN"/>
        </w:rPr>
        <w:t>申报年份</w:t>
      </w:r>
      <w:r>
        <w:rPr>
          <w:rFonts w:hint="eastAsia" w:ascii="仿宋" w:hAnsi="仿宋" w:eastAsia="仿宋" w:cs="仿宋"/>
          <w:i w:val="0"/>
          <w:caps w:val="0"/>
          <w:color w:val="auto"/>
          <w:spacing w:val="0"/>
          <w:sz w:val="32"/>
          <w:szCs w:val="32"/>
        </w:rPr>
        <w:t>年底，拥有与主要产品相关的有效发明专利（含集成电路布图设计专有权）2项或实用新型、外观设计专利5项及以上。企业具有自主知识产权的核心技术和科技成果，具备良好的科技成果转化能力。企业自建或与高等院校、科研机构联合建立研发机构，具备完成技术创新任务所必备的技术开发仪器设备条件或环境（设立技术研究院、企业技术中心、企业工程中心、院士专家工作站、博士后工作站等）。在研发设计、生产制造、供应链管理等环节，至少1项核心业务采用信息系统支撑。</w:t>
      </w:r>
      <w:bookmarkEnd w:id="56"/>
    </w:p>
    <w:p>
      <w:pPr>
        <w:numPr>
          <w:ilvl w:val="0"/>
          <w:numId w:val="0"/>
        </w:numPr>
        <w:ind w:firstLine="640" w:firstLineChars="20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4.经营管理。企业有完整的精细化管理方案，取得相关质量管理体系认证。企业实施系统化品牌培育战略并取得良好绩效，拥有自主品牌（含非物质文化遗产、地理标志商标等）。企业产品生产执行国际、国内、行业标准等，或是产品通过发达国家和地区产品认证（国际标准协会行业认证）。</w:t>
      </w:r>
    </w:p>
    <w:p>
      <w:pPr>
        <w:numPr>
          <w:ilvl w:val="0"/>
          <w:numId w:val="0"/>
        </w:numPr>
        <w:ind w:firstLine="640" w:firstLineChars="200"/>
        <w:jc w:val="both"/>
        <w:rPr>
          <w:rFonts w:hint="eastAsia" w:ascii="仿宋" w:hAnsi="仿宋" w:eastAsia="仿宋" w:cs="仿宋"/>
          <w:i w:val="0"/>
          <w:caps w:val="0"/>
          <w:color w:val="auto"/>
          <w:spacing w:val="0"/>
          <w:sz w:val="32"/>
          <w:szCs w:val="32"/>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tabs>
          <w:tab w:val="left" w:pos="2211"/>
        </w:tabs>
        <w:bidi w:val="0"/>
        <w:jc w:val="left"/>
        <w:rPr>
          <w:rFonts w:hint="eastAsia" w:ascii="仿宋" w:hAnsi="仿宋" w:eastAsia="仿宋" w:cs="仿宋"/>
          <w:b w:val="0"/>
          <w:bCs w:val="0"/>
          <w:color w:val="auto"/>
          <w:sz w:val="32"/>
          <w:szCs w:val="32"/>
          <w:vertAlign w:val="baseline"/>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tabs>
          <w:tab w:val="left" w:pos="2211"/>
        </w:tabs>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b w:val="0"/>
          <w:bCs w:val="0"/>
          <w:color w:val="auto"/>
          <w:sz w:val="32"/>
          <w:szCs w:val="32"/>
          <w:lang w:eastAsia="zh-CN"/>
        </w:rPr>
      </w:pPr>
      <w:bookmarkStart w:id="57" w:name="_Toc11957"/>
      <w:r>
        <w:rPr>
          <w:rFonts w:hint="eastAsia" w:ascii="黑体" w:hAnsi="黑体" w:eastAsia="黑体" w:cs="黑体"/>
          <w:b w:val="0"/>
          <w:bCs w:val="0"/>
          <w:color w:val="auto"/>
          <w:sz w:val="32"/>
          <w:szCs w:val="32"/>
          <w:vertAlign w:val="baseline"/>
          <w:lang w:val="en-US" w:eastAsia="zh-CN"/>
        </w:rPr>
        <w:t>十六、工信部重点“小巨人”、支持</w:t>
      </w:r>
      <w:r>
        <w:rPr>
          <w:rFonts w:hint="eastAsia" w:ascii="黑体" w:hAnsi="黑体" w:eastAsia="黑体" w:cs="黑体"/>
          <w:b w:val="0"/>
          <w:bCs w:val="0"/>
          <w:i w:val="0"/>
          <w:caps w:val="0"/>
          <w:color w:val="auto"/>
          <w:spacing w:val="0"/>
          <w:sz w:val="32"/>
          <w:szCs w:val="32"/>
        </w:rPr>
        <w:t>国家（或省级）中小企业公共服务示范平台</w:t>
      </w:r>
      <w:bookmarkEnd w:id="57"/>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申请标准：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1"/>
        <w:rPr>
          <w:rFonts w:hint="eastAsia" w:ascii="仿宋" w:hAnsi="仿宋" w:eastAsia="仿宋" w:cs="仿宋"/>
          <w:color w:val="auto"/>
          <w:sz w:val="32"/>
          <w:szCs w:val="32"/>
          <w:lang w:val="en-US" w:eastAsia="zh-CN"/>
        </w:rPr>
      </w:pPr>
      <w:bookmarkStart w:id="58" w:name="_Toc2842"/>
      <w:r>
        <w:rPr>
          <w:rFonts w:hint="eastAsia" w:ascii="仿宋" w:hAnsi="仿宋" w:eastAsia="仿宋" w:cs="仿宋"/>
          <w:color w:val="auto"/>
          <w:sz w:val="32"/>
          <w:szCs w:val="32"/>
          <w:lang w:val="en-US" w:eastAsia="zh-CN"/>
        </w:rPr>
        <w:t>（一）重点“小巨人”企业须同时符合以下申报条件</w:t>
      </w:r>
      <w:bookmarkEnd w:id="58"/>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    1.基础条件：工业和信息化部已认定的国家级专精特新“小巨人”企业（不含已在上交所主板、科创板和深交所主板、中小板、创业板，以及境外公开发行股票的）。</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2.产业导向方面，属于《工业“四基”发展目录》所列重点领域或制造强国战略十大重点产业领域；或主导产品属于关键领域“补短板”、关键核心技术攻关、填补国内空白（国际空白）；或与重点行业龙头企业协同创新。</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    3.专业化程度方面，主营业务收入占营业收入比重70%以上。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4.创新能力方面，截至2020年12月31日近2年研发经费支出占营业收入比重4%以上；且满足以下三项条件之一：拥有有效发明专利2项以上、自建或与高校和科研机构联合建立研发机构、主持或参与制（修）订国际国家或行业标准1个以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5.经营管理方面，取得相关质量管理体系认证（如ISO9000质量管理体系、ISO14000环境管理体系认证等）。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6.成长性方面，有上市计划（已递交申请书或已进入辅导期）。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1"/>
        <w:rPr>
          <w:rFonts w:hint="eastAsia" w:ascii="仿宋" w:hAnsi="仿宋" w:eastAsia="仿宋" w:cs="仿宋"/>
          <w:color w:val="auto"/>
          <w:sz w:val="32"/>
          <w:szCs w:val="32"/>
          <w:lang w:val="en-US" w:eastAsia="zh-CN"/>
        </w:rPr>
      </w:pPr>
      <w:bookmarkStart w:id="59" w:name="_Toc28815"/>
      <w:r>
        <w:rPr>
          <w:rFonts w:hint="eastAsia" w:ascii="仿宋" w:hAnsi="仿宋" w:eastAsia="仿宋" w:cs="仿宋"/>
          <w:color w:val="auto"/>
          <w:sz w:val="32"/>
          <w:szCs w:val="32"/>
          <w:lang w:val="en-US" w:eastAsia="zh-CN"/>
        </w:rPr>
        <w:t>（二）支持国家（或省级）中小企业公共服务示范平台的申报条件</w:t>
      </w:r>
      <w:bookmarkEnd w:id="59"/>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我省在有效期内的国家（或省级）中小企业公共服务示范平台，并且提供技术创新服务</w:t>
      </w:r>
      <w:r>
        <w:rPr>
          <w:rFonts w:hint="eastAsia"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上市辅导等融资服务，创新成果转化与应用、数字化智能化改造、</w:t>
      </w:r>
      <w:r>
        <w:rPr>
          <w:rFonts w:hint="eastAsia" w:ascii="仿宋" w:hAnsi="仿宋" w:eastAsia="仿宋" w:cs="仿宋"/>
          <w:color w:val="auto"/>
          <w:sz w:val="32"/>
          <w:szCs w:val="32"/>
          <w:lang w:val="en" w:eastAsia="zh-CN"/>
        </w:rPr>
        <w:t>知识产权应用、</w:t>
      </w:r>
      <w:r>
        <w:rPr>
          <w:rFonts w:hint="eastAsia" w:ascii="仿宋" w:hAnsi="仿宋" w:eastAsia="仿宋" w:cs="仿宋"/>
          <w:color w:val="auto"/>
          <w:sz w:val="32"/>
          <w:szCs w:val="32"/>
          <w:lang w:val="en-US" w:eastAsia="zh-CN"/>
        </w:rPr>
        <w:t>上云用云及工业设计等服务。</w:t>
      </w:r>
    </w:p>
    <w:p>
      <w:pPr>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奖补政策：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1、</w:t>
      </w:r>
      <w:r>
        <w:rPr>
          <w:rFonts w:hint="eastAsia" w:ascii="仿宋" w:hAnsi="仿宋" w:eastAsia="仿宋" w:cs="仿宋"/>
          <w:i w:val="0"/>
          <w:caps w:val="0"/>
          <w:color w:val="auto"/>
          <w:spacing w:val="0"/>
          <w:sz w:val="32"/>
          <w:szCs w:val="32"/>
        </w:rPr>
        <w:t>编报实施方案。省级中小企业主管部门会同财政部门，按要求组织符合条件的重点“小巨人”企业和公共服务示范平台自愿申报，并编制《XX省份第X批支持专精特新“小巨人”企业工作实施方案》（以下称《实施方案》，含推荐的重点“小巨人”企业名单和公共服务示范平台名单，模板见附件）的报送版，按程序联合上报两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2、</w:t>
      </w:r>
      <w:r>
        <w:rPr>
          <w:rFonts w:hint="eastAsia" w:ascii="仿宋" w:hAnsi="仿宋" w:eastAsia="仿宋" w:cs="仿宋"/>
          <w:i w:val="0"/>
          <w:caps w:val="0"/>
          <w:color w:val="auto"/>
          <w:spacing w:val="0"/>
          <w:sz w:val="32"/>
          <w:szCs w:val="32"/>
        </w:rPr>
        <w:t>审核批复方案。工业和信息化部商财政部组织合规性审核，提出审核意见，其中，对于地方推荐的重点“小巨人”企业，按照可量化可考核的统一标准，择优确定。省级中小企业主管部门会同财政部门，按合规性审核意见进行修改完善，并将完善后的《实施方案》[以下称《实施方案》（备案版）]按程序报送至两部门，由工业和信息化部会同财政部予以批复（含重点“小巨人”企业名单和公共服务示范平台名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3、</w:t>
      </w:r>
      <w:r>
        <w:rPr>
          <w:rFonts w:hint="eastAsia" w:ascii="仿宋" w:hAnsi="仿宋" w:eastAsia="仿宋" w:cs="仿宋"/>
          <w:i w:val="0"/>
          <w:caps w:val="0"/>
          <w:color w:val="auto"/>
          <w:spacing w:val="0"/>
          <w:sz w:val="32"/>
          <w:szCs w:val="32"/>
        </w:rPr>
        <w:t>工作实施及绩效考核。省级中小企业主管部门会同财政部门按照两部门批复的《实施方案》（备案版），组织推进实施并做好分年度实施成效自评估。工业和信息化部商财政部对地方培育工作组织分年度绩效考核，明确绩效考核等次，以及继续支持的重点“小巨人”企业（仍通过可量化可考核的统一标准择优确定），考核结果与后续奖补资金安排挂钩。对于年度绩效考核中发现问题及不足的，由有关省级中小企业主管部门会同财政部门组织落实整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sz w:val="32"/>
          <w:szCs w:val="32"/>
          <w:lang w:val="en-US" w:eastAsia="zh-CN"/>
        </w:rPr>
        <w:t>4、</w:t>
      </w:r>
      <w:r>
        <w:rPr>
          <w:rFonts w:hint="eastAsia" w:ascii="仿宋" w:hAnsi="仿宋" w:eastAsia="仿宋" w:cs="仿宋"/>
          <w:i w:val="0"/>
          <w:caps w:val="0"/>
          <w:color w:val="auto"/>
          <w:spacing w:val="0"/>
          <w:sz w:val="32"/>
          <w:szCs w:val="32"/>
        </w:rPr>
        <w:t>拨付奖补资金。两部门批复《实施方案》（备案版）后，财政部于批复当年、实施期满1年及满2年时，按照预算管理规定、分年度绩效考核结果及工业和信息化部建议，按程序滚动安排奖补资金，切块下达省级财政部门。省级中小企业主管部门商同级财政部门按照《实施方案》（备案版），并结合本地区重点“小巨人”企业、公共服务示范平台实际情况，确定资金分配方案（奖补资金90%以上用于直接支持重点“小巨人”企业），避免简单分配。按照直达资金管理要求，各省级财政部门应在接到中央直达资金指标发文后30日内，将分配方案上报财政部，同时抄送财政部当地监管局。</w:t>
      </w:r>
    </w:p>
    <w:p>
      <w:pPr>
        <w:rPr>
          <w:rFonts w:hint="eastAsia" w:ascii="宋体" w:hAnsi="宋体" w:eastAsia="宋体" w:cs="宋体"/>
          <w:i w:val="0"/>
          <w:caps w:val="0"/>
          <w:color w:val="auto"/>
          <w:spacing w:val="0"/>
          <w:sz w:val="44"/>
          <w:szCs w:val="44"/>
          <w:lang w:eastAsia="zh-CN"/>
        </w:rPr>
      </w:pPr>
      <w:r>
        <w:rPr>
          <w:rFonts w:hint="eastAsia" w:ascii="宋体" w:hAnsi="宋体" w:eastAsia="宋体" w:cs="宋体"/>
          <w:i w:val="0"/>
          <w:caps w:val="0"/>
          <w:color w:val="auto"/>
          <w:spacing w:val="0"/>
          <w:sz w:val="44"/>
          <w:szCs w:val="44"/>
          <w:lang w:eastAsia="zh-CN"/>
        </w:rPr>
        <w:br w:type="page"/>
      </w:r>
    </w:p>
    <w:p>
      <w:pPr>
        <w:spacing w:line="560" w:lineRule="exact"/>
        <w:jc w:val="center"/>
        <w:outlineLvl w:val="0"/>
        <w:rPr>
          <w:rFonts w:hint="eastAsia" w:ascii="华文中宋" w:hAnsi="华文中宋" w:eastAsia="华文中宋" w:cs="华文中宋"/>
          <w:b/>
          <w:bCs/>
          <w:i w:val="0"/>
          <w:caps w:val="0"/>
          <w:color w:val="auto"/>
          <w:spacing w:val="0"/>
          <w:sz w:val="44"/>
          <w:szCs w:val="44"/>
          <w:lang w:eastAsia="zh-CN"/>
        </w:rPr>
      </w:pPr>
      <w:bookmarkStart w:id="60" w:name="_Toc22642"/>
    </w:p>
    <w:p>
      <w:pPr>
        <w:spacing w:line="560" w:lineRule="exact"/>
        <w:jc w:val="center"/>
        <w:outlineLvl w:val="0"/>
        <w:rPr>
          <w:rFonts w:hint="eastAsia" w:ascii="华文中宋" w:hAnsi="华文中宋" w:eastAsia="华文中宋" w:cs="华文中宋"/>
          <w:b/>
          <w:bCs/>
          <w:i w:val="0"/>
          <w:caps w:val="0"/>
          <w:color w:val="auto"/>
          <w:spacing w:val="0"/>
          <w:sz w:val="44"/>
          <w:szCs w:val="44"/>
          <w:lang w:eastAsia="zh-CN"/>
        </w:rPr>
      </w:pPr>
      <w:r>
        <w:rPr>
          <w:rFonts w:hint="eastAsia" w:ascii="华文中宋" w:hAnsi="华文中宋" w:eastAsia="华文中宋" w:cs="华文中宋"/>
          <w:b/>
          <w:bCs/>
          <w:i w:val="0"/>
          <w:caps w:val="0"/>
          <w:color w:val="auto"/>
          <w:spacing w:val="0"/>
          <w:sz w:val="44"/>
          <w:szCs w:val="44"/>
          <w:lang w:eastAsia="zh-CN"/>
        </w:rPr>
        <w:t>各个板块上市条件</w:t>
      </w:r>
      <w:bookmarkEnd w:id="60"/>
    </w:p>
    <w:p>
      <w:pPr>
        <w:tabs>
          <w:tab w:val="left" w:pos="2211"/>
        </w:tabs>
        <w:bidi w:val="0"/>
        <w:ind w:firstLine="640" w:firstLineChars="200"/>
        <w:jc w:val="left"/>
        <w:rPr>
          <w:rFonts w:hint="eastAsia" w:ascii="仿宋" w:hAnsi="仿宋" w:eastAsia="仿宋" w:cs="仿宋"/>
          <w:i w:val="0"/>
          <w:caps w:val="0"/>
          <w:color w:val="auto"/>
          <w:spacing w:val="0"/>
          <w:sz w:val="32"/>
          <w:szCs w:val="32"/>
          <w:shd w:val="clear" w:color="auto" w:fill="auto"/>
          <w:lang w:val="en-US" w:eastAsia="zh-CN"/>
        </w:rPr>
      </w:pP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我国内地（不含港澳台）多层次证券市场包括：主板市场（上交所、深交所）、创业板（深交所）、中小板（深交所）、新三板（全国中小企业股份转让系统）、科创板（上交所）、地方股权交易中心（省市自建，中原股权交易中心等）。</w:t>
      </w:r>
    </w:p>
    <w:p>
      <w:pPr>
        <w:numPr>
          <w:ilvl w:val="0"/>
          <w:numId w:val="5"/>
        </w:numPr>
        <w:ind w:firstLine="643" w:firstLineChars="200"/>
        <w:outlineLvl w:val="0"/>
        <w:rPr>
          <w:rFonts w:hint="eastAsia" w:ascii="仿宋" w:hAnsi="仿宋" w:eastAsia="仿宋" w:cs="仿宋"/>
          <w:b/>
          <w:bCs/>
          <w:color w:val="191919"/>
          <w:sz w:val="32"/>
          <w:szCs w:val="32"/>
          <w:shd w:val="clear" w:color="auto" w:fill="FFFFFF"/>
        </w:rPr>
      </w:pPr>
      <w:bookmarkStart w:id="61" w:name="_Toc32626"/>
      <w:r>
        <w:rPr>
          <w:rFonts w:hint="eastAsia" w:ascii="仿宋" w:hAnsi="仿宋" w:eastAsia="仿宋" w:cs="仿宋"/>
          <w:b/>
          <w:bCs/>
          <w:color w:val="191919"/>
          <w:sz w:val="32"/>
          <w:szCs w:val="32"/>
          <w:shd w:val="clear" w:color="auto" w:fill="FFFFFF"/>
        </w:rPr>
        <w:t>企业上市流程</w:t>
      </w:r>
      <w:bookmarkEnd w:id="61"/>
    </w:p>
    <w:p>
      <w:pPr>
        <w:ind w:firstLine="640" w:firstLineChars="200"/>
        <w:rPr>
          <w:rFonts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各板块上市流程</w:t>
      </w:r>
      <w:r>
        <w:rPr>
          <w:rFonts w:ascii="仿宋" w:hAnsi="仿宋" w:eastAsia="仿宋" w:cs="仿宋"/>
          <w:color w:val="191919"/>
          <w:sz w:val="32"/>
          <w:szCs w:val="32"/>
          <w:shd w:val="clear" w:color="auto" w:fill="FFFFFF"/>
        </w:rPr>
        <w:t>大致分为“改制阶段”，“辅导阶段”，“申报阶段”和“股票发行及上市阶段”。</w:t>
      </w:r>
      <w:r>
        <w:rPr>
          <w:rFonts w:hint="eastAsia" w:ascii="仿宋" w:hAnsi="仿宋" w:eastAsia="仿宋" w:cs="仿宋"/>
          <w:color w:val="191919"/>
          <w:sz w:val="32"/>
          <w:szCs w:val="32"/>
          <w:shd w:val="clear" w:color="auto" w:fill="FFFFFF"/>
        </w:rPr>
        <w:t>根据拟上市（挂牌）的市场规模及各板块具体要求，流程稍有不同。</w:t>
      </w:r>
    </w:p>
    <w:p>
      <w:pPr>
        <w:numPr>
          <w:ilvl w:val="0"/>
          <w:numId w:val="6"/>
        </w:numPr>
        <w:ind w:firstLine="643" w:firstLineChars="200"/>
        <w:outlineLvl w:val="1"/>
        <w:rPr>
          <w:rFonts w:hint="eastAsia" w:ascii="仿宋" w:hAnsi="仿宋" w:eastAsia="仿宋" w:cs="仿宋"/>
          <w:b/>
          <w:bCs/>
          <w:color w:val="191919"/>
          <w:sz w:val="32"/>
          <w:szCs w:val="32"/>
          <w:shd w:val="clear" w:color="auto" w:fill="FFFFFF"/>
        </w:rPr>
      </w:pPr>
      <w:bookmarkStart w:id="62" w:name="_Toc14382"/>
      <w:r>
        <w:rPr>
          <w:rFonts w:hint="eastAsia" w:ascii="仿宋" w:hAnsi="仿宋" w:eastAsia="仿宋" w:cs="仿宋"/>
          <w:b/>
          <w:bCs/>
          <w:color w:val="191919"/>
          <w:sz w:val="32"/>
          <w:szCs w:val="32"/>
          <w:shd w:val="clear" w:color="auto" w:fill="FFFFFF"/>
        </w:rPr>
        <w:t>改制阶段</w:t>
      </w:r>
      <w:bookmarkEnd w:id="62"/>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改制阶段的主要目的是将有限公司整体该改制为股份公司，参与中介机构包括：审计、评估、律师、会计师等。主要工作包括：财务审计、尽职调查、确定改制方案、引入战略投资者、利润分配、股权变更、召开股东大会选举公司管理层、工商登记等工作。</w:t>
      </w:r>
    </w:p>
    <w:p>
      <w:pPr>
        <w:numPr>
          <w:ilvl w:val="0"/>
          <w:numId w:val="6"/>
        </w:numPr>
        <w:ind w:firstLine="643" w:firstLineChars="200"/>
        <w:outlineLvl w:val="1"/>
        <w:rPr>
          <w:rFonts w:hint="eastAsia" w:ascii="仿宋" w:hAnsi="仿宋" w:eastAsia="仿宋" w:cs="仿宋"/>
          <w:b/>
          <w:bCs/>
          <w:color w:val="191919"/>
          <w:sz w:val="32"/>
          <w:szCs w:val="32"/>
          <w:shd w:val="clear" w:color="auto" w:fill="FFFFFF"/>
        </w:rPr>
      </w:pPr>
      <w:bookmarkStart w:id="63" w:name="_Toc26549"/>
      <w:r>
        <w:rPr>
          <w:rFonts w:hint="eastAsia" w:ascii="仿宋" w:hAnsi="仿宋" w:eastAsia="仿宋" w:cs="仿宋"/>
          <w:b/>
          <w:bCs/>
          <w:color w:val="191919"/>
          <w:sz w:val="32"/>
          <w:szCs w:val="32"/>
          <w:shd w:val="clear" w:color="auto" w:fill="FFFFFF"/>
        </w:rPr>
        <w:t>辅导阶段</w:t>
      </w:r>
      <w:bookmarkEnd w:id="63"/>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上市辅导的主要目的是使拟上市公司具备进入证券市场的基本条件，需拟上市公司向证监会提出申请，进入辅导期。参与中介机构包括：具备上市辅导资格的证券公司、会计师、律师等。主要工作：建立良好的公司治理结构、上市政策法规培训、证券市场规范运作要求等，通过一些列辅导使上市公司具备进入证券市场的基本条件。</w:t>
      </w:r>
    </w:p>
    <w:p>
      <w:pPr>
        <w:numPr>
          <w:ilvl w:val="0"/>
          <w:numId w:val="6"/>
        </w:numPr>
        <w:ind w:firstLine="643" w:firstLineChars="200"/>
        <w:outlineLvl w:val="1"/>
        <w:rPr>
          <w:rFonts w:hint="eastAsia" w:ascii="仿宋" w:hAnsi="仿宋" w:eastAsia="仿宋" w:cs="仿宋"/>
          <w:b/>
          <w:bCs/>
          <w:color w:val="191919"/>
          <w:sz w:val="32"/>
          <w:szCs w:val="32"/>
          <w:shd w:val="clear" w:color="auto" w:fill="FFFFFF"/>
        </w:rPr>
      </w:pPr>
      <w:bookmarkStart w:id="64" w:name="_Toc25371"/>
      <w:r>
        <w:rPr>
          <w:rFonts w:hint="eastAsia" w:ascii="仿宋" w:hAnsi="仿宋" w:eastAsia="仿宋" w:cs="仿宋"/>
          <w:b/>
          <w:bCs/>
          <w:color w:val="191919"/>
          <w:sz w:val="32"/>
          <w:szCs w:val="32"/>
          <w:shd w:val="clear" w:color="auto" w:fill="FFFFFF"/>
        </w:rPr>
        <w:t>申报阶段</w:t>
      </w:r>
      <w:bookmarkEnd w:id="64"/>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申报阶段的主要目的是完成前期各项准备工作，正式向证监会提交IPO全套申报材料。参与机构：证券公司、会计师、审计师、律师等。主要工作是完善前期各项准备工作，出具正式审计报告，确定发行方案，向证监会提交全套IPO申报资料。</w:t>
      </w:r>
    </w:p>
    <w:p>
      <w:pPr>
        <w:numPr>
          <w:ilvl w:val="0"/>
          <w:numId w:val="6"/>
        </w:numPr>
        <w:ind w:firstLine="643" w:firstLineChars="200"/>
        <w:outlineLvl w:val="1"/>
        <w:rPr>
          <w:rFonts w:hint="eastAsia" w:ascii="仿宋" w:hAnsi="仿宋" w:eastAsia="仿宋" w:cs="仿宋"/>
          <w:b/>
          <w:bCs/>
          <w:color w:val="191919"/>
          <w:sz w:val="32"/>
          <w:szCs w:val="32"/>
          <w:shd w:val="clear" w:color="auto" w:fill="FFFFFF"/>
        </w:rPr>
      </w:pPr>
      <w:bookmarkStart w:id="65" w:name="_Toc19813"/>
      <w:r>
        <w:rPr>
          <w:rFonts w:hint="eastAsia" w:ascii="仿宋" w:hAnsi="仿宋" w:eastAsia="仿宋" w:cs="仿宋"/>
          <w:b/>
          <w:bCs/>
          <w:color w:val="191919"/>
          <w:sz w:val="32"/>
          <w:szCs w:val="32"/>
          <w:shd w:val="clear" w:color="auto" w:fill="FFFFFF"/>
        </w:rPr>
        <w:t>股票发行及上市阶段</w:t>
      </w:r>
      <w:bookmarkEnd w:id="65"/>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股票发行及上市阶段主要是指拟上市公司取得证监会同意发行批文后，通过刊登招股说明书及巡回路演，在交易所安排下完成挂牌上市交易。</w:t>
      </w:r>
    </w:p>
    <w:p>
      <w:pPr>
        <w:numPr>
          <w:ilvl w:val="0"/>
          <w:numId w:val="5"/>
        </w:numPr>
        <w:ind w:firstLine="643" w:firstLineChars="200"/>
        <w:outlineLvl w:val="0"/>
        <w:rPr>
          <w:rFonts w:hint="eastAsia" w:ascii="仿宋" w:hAnsi="仿宋" w:eastAsia="仿宋" w:cs="仿宋"/>
          <w:b/>
          <w:bCs/>
          <w:color w:val="191919"/>
          <w:sz w:val="32"/>
          <w:szCs w:val="32"/>
          <w:shd w:val="clear" w:color="auto" w:fill="FFFFFF"/>
        </w:rPr>
      </w:pPr>
      <w:bookmarkStart w:id="66" w:name="_Toc18883"/>
      <w:r>
        <w:rPr>
          <w:rFonts w:hint="eastAsia" w:ascii="仿宋" w:hAnsi="仿宋" w:eastAsia="仿宋" w:cs="仿宋"/>
          <w:b/>
          <w:bCs/>
          <w:color w:val="191919"/>
          <w:sz w:val="32"/>
          <w:szCs w:val="32"/>
          <w:shd w:val="clear" w:color="auto" w:fill="FFFFFF"/>
        </w:rPr>
        <w:t>各板块上市条件</w:t>
      </w:r>
      <w:bookmarkEnd w:id="66"/>
    </w:p>
    <w:p>
      <w:pPr>
        <w:numPr>
          <w:ilvl w:val="0"/>
          <w:numId w:val="7"/>
        </w:numPr>
        <w:ind w:firstLine="643" w:firstLineChars="200"/>
        <w:outlineLvl w:val="1"/>
        <w:rPr>
          <w:rFonts w:hint="eastAsia" w:ascii="仿宋" w:hAnsi="仿宋" w:eastAsia="仿宋" w:cs="仿宋"/>
          <w:b/>
          <w:bCs/>
          <w:color w:val="191919"/>
          <w:sz w:val="32"/>
          <w:szCs w:val="32"/>
          <w:shd w:val="clear" w:color="auto" w:fill="FFFFFF"/>
        </w:rPr>
      </w:pPr>
      <w:bookmarkStart w:id="67" w:name="_Toc28906"/>
      <w:r>
        <w:rPr>
          <w:rFonts w:hint="eastAsia" w:ascii="仿宋" w:hAnsi="仿宋" w:eastAsia="仿宋" w:cs="仿宋"/>
          <w:b/>
          <w:bCs/>
          <w:color w:val="191919"/>
          <w:sz w:val="32"/>
          <w:szCs w:val="32"/>
          <w:shd w:val="clear" w:color="auto" w:fill="FFFFFF"/>
        </w:rPr>
        <w:t>主板上市主要条件（深交所和上交所稍有不同）</w:t>
      </w:r>
      <w:bookmarkEnd w:id="67"/>
    </w:p>
    <w:p>
      <w:pPr>
        <w:ind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简介：</w:t>
      </w:r>
      <w:r>
        <w:rPr>
          <w:rFonts w:hint="eastAsia" w:ascii="仿宋" w:hAnsi="仿宋" w:eastAsia="仿宋" w:cs="仿宋"/>
          <w:color w:val="191919"/>
          <w:sz w:val="32"/>
          <w:szCs w:val="32"/>
          <w:shd w:val="clear" w:color="auto" w:fill="FFFFFF"/>
        </w:rPr>
        <w:t>主板市场也称为一板市场，指传统意义上的证券市场（通常指股票市场），是一个国家或地区证券发行、上市及交易的主要场所。中国大陆主板市场的公司在上交所和深交所两个市场上市。上交所主板股票代码以60开头，而深交所主板股票代码以000开头。主板市场是资本市场中最重要的组成部分，很大程度上能够反映经济发展状况，有“国民经济晴雨表”之称。</w:t>
      </w:r>
    </w:p>
    <w:p>
      <w:pPr>
        <w:ind w:firstLine="640" w:firstLineChars="200"/>
        <w:rPr>
          <w:rFonts w:hint="eastAsia" w:ascii="仿宋" w:hAnsi="仿宋" w:eastAsia="仿宋" w:cs="仿宋"/>
          <w:b/>
          <w:bCs/>
          <w:color w:val="191919"/>
          <w:sz w:val="32"/>
          <w:szCs w:val="32"/>
          <w:shd w:val="clear" w:color="auto" w:fill="FFFFFF"/>
        </w:rPr>
      </w:pPr>
      <w:r>
        <w:rPr>
          <w:rFonts w:hint="eastAsia" w:ascii="仿宋" w:hAnsi="仿宋" w:eastAsia="仿宋" w:cs="仿宋"/>
          <w:color w:val="191919"/>
          <w:sz w:val="32"/>
          <w:szCs w:val="32"/>
          <w:shd w:val="clear" w:color="auto" w:fill="FFFFFF"/>
        </w:rPr>
        <w:t>主板市场上市门槛较高，对发行人的营业期限、股本大小、盈利水平、最低市值等方面都具有较高要求。通常能在主板上市的多为大型成熟企业，或处于某个行业的龙头地位，具有较大的资本规模及稳定的盈利能力，例如工商银行、中国人寿、中国石油等。</w:t>
      </w:r>
    </w:p>
    <w:p>
      <w:pPr>
        <w:ind w:firstLine="643" w:firstLineChars="200"/>
        <w:rPr>
          <w:rFonts w:ascii="仿宋" w:hAnsi="仿宋" w:eastAsia="仿宋" w:cs="仿宋"/>
          <w:b/>
          <w:bCs/>
          <w:color w:val="191919"/>
          <w:sz w:val="32"/>
          <w:szCs w:val="32"/>
          <w:shd w:val="clear" w:color="auto" w:fill="FFFFFF"/>
        </w:rPr>
      </w:pPr>
      <w:r>
        <w:rPr>
          <w:rFonts w:hint="eastAsia" w:ascii="仿宋" w:hAnsi="仿宋" w:eastAsia="仿宋" w:cs="仿宋"/>
          <w:b/>
          <w:bCs/>
          <w:color w:val="191919"/>
          <w:sz w:val="32"/>
          <w:szCs w:val="32"/>
          <w:shd w:val="clear" w:color="auto" w:fill="FFFFFF"/>
        </w:rPr>
        <w:t>期限：12—36个月</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1、发行人是依法设立且持续经营三年以上的股份有限公司；</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2、发行人最近三个会计年度净利润均为正且累计超过人民币三千万元；最近三个会计年度经营活动。产生的现金流量净额累计超过人民币五千万元，或者最近三个会计年度营业收入累计超过人民币三亿元；</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3、最近一期末无形资产（扣除土地使用权等）占净资产的比例不超过20%；</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4、发行前股本总额不少于人民币三千万元；</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5、最近三年内公司的主营业务未发生重大变化；</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6、最近三年内公司的懂事、管理层未发生重大变化；</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7、最近三年内公司的实际控制人未发生变更；</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8、最近三年内无重大违法行为。</w:t>
      </w:r>
    </w:p>
    <w:p>
      <w:pPr>
        <w:ind w:firstLine="643" w:firstLineChars="200"/>
        <w:outlineLvl w:val="1"/>
        <w:rPr>
          <w:rFonts w:hint="eastAsia" w:ascii="仿宋" w:hAnsi="仿宋" w:eastAsia="仿宋" w:cs="仿宋"/>
          <w:b/>
          <w:bCs/>
          <w:color w:val="191919"/>
          <w:sz w:val="32"/>
          <w:szCs w:val="32"/>
          <w:shd w:val="clear" w:color="auto" w:fill="FFFFFF"/>
        </w:rPr>
      </w:pPr>
      <w:bookmarkStart w:id="68" w:name="_Toc31973"/>
      <w:r>
        <w:rPr>
          <w:rFonts w:hint="eastAsia" w:ascii="仿宋" w:hAnsi="仿宋" w:eastAsia="仿宋" w:cs="仿宋"/>
          <w:b/>
          <w:bCs/>
          <w:color w:val="191919"/>
          <w:sz w:val="32"/>
          <w:szCs w:val="32"/>
          <w:shd w:val="clear" w:color="auto" w:fill="FFFFFF"/>
        </w:rPr>
        <w:t>（二）创业板挂牌条件</w:t>
      </w:r>
      <w:bookmarkEnd w:id="68"/>
    </w:p>
    <w:p>
      <w:pPr>
        <w:ind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简介：</w:t>
      </w:r>
      <w:r>
        <w:rPr>
          <w:rFonts w:hint="eastAsia" w:ascii="仿宋" w:hAnsi="仿宋" w:eastAsia="仿宋" w:cs="仿宋"/>
          <w:color w:val="191919"/>
          <w:sz w:val="32"/>
          <w:szCs w:val="32"/>
          <w:shd w:val="clear" w:color="auto" w:fill="FFFFFF"/>
        </w:rPr>
        <w:t>创业板市场又被称为二板市场，是为具有高成长性的中小企业和高科技企业融资服务的资本市场。创业板市场是不同于主板市场的独特的资本市场，具有前瞻性、高风险、监管要求严格以及明显的高技术产业导向的特点。与主板市场相比，在创业板市场上市的企业规模较小、上市条件相对较低，中小企业更容易上市募集发展所需资金。</w:t>
      </w:r>
    </w:p>
    <w:p>
      <w:pPr>
        <w:ind w:firstLine="643" w:firstLineChars="200"/>
        <w:rPr>
          <w:rFonts w:ascii="仿宋" w:hAnsi="仿宋" w:eastAsia="仿宋" w:cs="仿宋"/>
          <w:b/>
          <w:bCs/>
          <w:color w:val="191919"/>
          <w:sz w:val="32"/>
          <w:szCs w:val="32"/>
          <w:shd w:val="clear" w:color="auto" w:fill="FFFFFF"/>
        </w:rPr>
      </w:pPr>
      <w:r>
        <w:rPr>
          <w:rFonts w:hint="eastAsia" w:ascii="仿宋" w:hAnsi="仿宋" w:eastAsia="仿宋" w:cs="仿宋"/>
          <w:b/>
          <w:bCs/>
          <w:color w:val="191919"/>
          <w:sz w:val="32"/>
          <w:szCs w:val="32"/>
          <w:shd w:val="clear" w:color="auto" w:fill="FFFFFF"/>
        </w:rPr>
        <w:t>期限：3—12个月</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1、主体资格：依法设立且持续经营三年以上的股份有限公司。有限责任公司按原账面净资产值折股整体变更为股份有限公司的，持续经营时间可以从有限责任公司成立之日起计算；发行人应当主要经营一种业务，生产经营活动符合法律、行政法规和公司章程的规定，符合产业政策及环保政策；发行人最近两年内主营业务和董事、高级管理人员均没有发生重大变化，实际控制人没有发生变更。</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2、规范运作：股权清晰，控股股东和受控股股东、实际控制人支配的股东所持发行人的股份不存在重大权属纠纷；依法建立健全股东大会、董事会、监事会以及独立董事、董事会秘书、审计委员会制度、股东投票计票制度；内部控制制度健全；发行人及其控股股东、实际控制人最近三年内不存在损害投资者合法权益和社会公共利益的重大违法行为。</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3、财务与会计：最近两年连续盈利，最近两年净利润累计不少于一千万元；或者最近一年盈利，最近一年营业收入不少于五千万元。净利润以扣除非经常性损益前后孰低者为计算依据；最近一期末净资产不少于二千万元，且不存在未弥补亏损；发行后股本总额不少于三千万元；会计基础工作规范，内部控制制度健全有效，财务会计报告无虚假记载。</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4、信息披露：分析并完整披露对其持续盈利能力产生重大不利影响的所有因素；披露已达到发行监管对公司独立性的基本要求；凡是对投资者作出投资决策有重大影响的信息，均应当予以披露。</w:t>
      </w:r>
    </w:p>
    <w:p>
      <w:pPr>
        <w:ind w:firstLine="643" w:firstLineChars="200"/>
        <w:outlineLvl w:val="1"/>
        <w:rPr>
          <w:rFonts w:hint="eastAsia" w:ascii="仿宋" w:hAnsi="仿宋" w:eastAsia="仿宋" w:cs="仿宋"/>
          <w:b/>
          <w:bCs/>
          <w:color w:val="191919"/>
          <w:sz w:val="32"/>
          <w:szCs w:val="32"/>
          <w:shd w:val="clear" w:color="auto" w:fill="FFFFFF"/>
        </w:rPr>
      </w:pPr>
      <w:bookmarkStart w:id="69" w:name="_Toc4625"/>
      <w:r>
        <w:rPr>
          <w:rFonts w:hint="eastAsia" w:ascii="仿宋" w:hAnsi="仿宋" w:eastAsia="仿宋" w:cs="仿宋"/>
          <w:b/>
          <w:bCs/>
          <w:color w:val="191919"/>
          <w:sz w:val="32"/>
          <w:szCs w:val="32"/>
          <w:shd w:val="clear" w:color="auto" w:fill="FFFFFF"/>
        </w:rPr>
        <w:t>（三）中小板挂牌条件</w:t>
      </w:r>
      <w:bookmarkEnd w:id="69"/>
    </w:p>
    <w:p>
      <w:pPr>
        <w:ind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简介：</w:t>
      </w:r>
      <w:r>
        <w:rPr>
          <w:rFonts w:hint="eastAsia" w:ascii="仿宋" w:hAnsi="仿宋" w:eastAsia="仿宋" w:cs="仿宋"/>
          <w:color w:val="191919"/>
          <w:sz w:val="32"/>
          <w:szCs w:val="32"/>
          <w:shd w:val="clear" w:color="auto" w:fill="FFFFFF"/>
        </w:rPr>
        <w:t>中小板是深交所为了鼓励自主创新而专门设置的中小型公司聚集板块，股票代码以002开头。在中小板上市的企业，行业地位虽然通常没有主板上市企业那么高，但其中部分企业成长性较强，上市后快速发展，一跃成为行业龙头，市值也迅速攀升，例如海康威视。</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中小板的整体设计原则可以概括为“两个不变”和“四个独立”。“两个不变”是指中小企业板块运行所遵循的法律、法规和部门规章，与主板市场相同，中小企业板块的上市公司须符合主板市场的发行上市条件和信息披露要求。“四个独立”是指小企业板块是主板市场的组成部分，同时实行运行独立、监察独立、代码独立、指数独立。</w:t>
      </w:r>
    </w:p>
    <w:p>
      <w:pPr>
        <w:ind w:firstLine="643" w:firstLineChars="200"/>
        <w:rPr>
          <w:rFonts w:ascii="仿宋" w:hAnsi="仿宋" w:eastAsia="仿宋" w:cs="仿宋"/>
          <w:b/>
          <w:bCs/>
          <w:color w:val="191919"/>
          <w:sz w:val="32"/>
          <w:szCs w:val="32"/>
          <w:shd w:val="clear" w:color="auto" w:fill="FFFFFF"/>
        </w:rPr>
      </w:pPr>
      <w:r>
        <w:rPr>
          <w:rFonts w:hint="eastAsia" w:ascii="仿宋" w:hAnsi="仿宋" w:eastAsia="仿宋" w:cs="仿宋"/>
          <w:b/>
          <w:bCs/>
          <w:color w:val="191919"/>
          <w:sz w:val="32"/>
          <w:szCs w:val="32"/>
          <w:shd w:val="clear" w:color="auto" w:fill="FFFFFF"/>
        </w:rPr>
        <w:t>期限：6—10个月</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1、主体资格：合法存续的股份有限公司；自股份公司成立后，持续经营时间在3年以上，但经国务院批准的除外；</w:t>
      </w:r>
    </w:p>
    <w:p>
      <w:pPr>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最近3年内主营业务和董事、高级管理人员没有发生重大变化，实际控制人没有发生变更。</w:t>
      </w:r>
    </w:p>
    <w:p>
      <w:pPr>
        <w:numPr>
          <w:ilvl w:val="0"/>
          <w:numId w:val="8"/>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独立性：具有完整的业务体系和直接面向市场独立经营的能力；五独立：资产完整、人员独立、财务独立、机构独立、业务独立；发行人的业务独立于控制股东、实际控制人及其控制的其他企业，与控股股东、实际控制人及其控制的其他企业间不得有同业竞争或者显失公平的关联交易。</w:t>
      </w:r>
    </w:p>
    <w:p>
      <w:pPr>
        <w:numPr>
          <w:ilvl w:val="0"/>
          <w:numId w:val="8"/>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规范运作：依法建立健全股东大会、董事会、监事会、独立董事、董事会秘书制度；内部控制制度健全且被有效执行；发行人最近36个月内无重大违法违规行为，或严重损害投资者合法权益和社会公共利益的其他情形；公司章程明确对外担保的审批权限和审议程序，不存在为控股股东、实际控制人及其控制的其他企业进行违规担保的情形；有严格的资金管理制度，不得有资金被控股股东、实际控制人及其控制的其他企业以借款、代偿债务、代垫款项或者其他方式占用的情形。</w:t>
      </w:r>
    </w:p>
    <w:p>
      <w:pPr>
        <w:numPr>
          <w:ilvl w:val="0"/>
          <w:numId w:val="8"/>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财务与会计：最近3个会计年度净利润均为正数且净利润累计&gt;3000万元，净利润以扣除非经常性损益前后较低者为计算依据；最近3个会计年度经营活动产生的现金流量净额累计&gt;5000万元；或最近3个会计年度营业收入累计&gt;3亿元； 发行前股本≥3000万股；最近一期末无形资产占净资产的比例≤20%；最近一期末不存在未弥补亏损；内部控制在所有重大方面有效，会计基础工作规范，财务会计报告无虚假记载； 不存在影响发行人持续盈利能力的情形。</w:t>
      </w:r>
    </w:p>
    <w:p>
      <w:pPr>
        <w:numPr>
          <w:ilvl w:val="0"/>
          <w:numId w:val="8"/>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募资资金运用：募集资金应当有明确使用方向，原则上应当用于主营业务；募集资金数额或投资项目应与发行人现有生产经营规模、财务状况、技术水平和管理能力等相适应；募集资金投资项目应当符合国家产业政策、投资管理、环境保护、土地管理以及其他法律、法规和规章的规定；募集资金投资项目实施后，不会产生同业竞争或者对发行人独立性产生不利影响；发行人应当建立募集资金专项存储制度，募集资金应当存放于董事会决定的专项账户。</w:t>
      </w:r>
    </w:p>
    <w:p>
      <w:pPr>
        <w:numPr>
          <w:ilvl w:val="0"/>
          <w:numId w:val="8"/>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股本及公开发行比例：发行后总股本&lt;4亿股，公开发行比例须≥25%;发行后总股本&gt;4亿股，公开发行比例须≥10%。</w:t>
      </w:r>
    </w:p>
    <w:p>
      <w:pPr>
        <w:numPr>
          <w:ilvl w:val="0"/>
          <w:numId w:val="8"/>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股东承诺：控股股东和实际控制人应当承诺：自发行人股票上市之日起三十六个月内，不转让或者委托他人管理其直接或者间接持有的发行人公开发行前已发行的股份，也不由发行人回购其直接或者间接持有的发行人公开发行前已发行的股份。</w:t>
      </w:r>
    </w:p>
    <w:p>
      <w:pPr>
        <w:ind w:left="420" w:leftChars="200"/>
        <w:outlineLvl w:val="1"/>
        <w:rPr>
          <w:rFonts w:hint="eastAsia" w:ascii="仿宋" w:hAnsi="仿宋" w:eastAsia="仿宋" w:cs="仿宋"/>
          <w:b/>
          <w:bCs/>
          <w:color w:val="191919"/>
          <w:sz w:val="32"/>
          <w:szCs w:val="32"/>
          <w:shd w:val="clear" w:color="auto" w:fill="FFFFFF"/>
        </w:rPr>
      </w:pPr>
      <w:bookmarkStart w:id="70" w:name="_Toc12003"/>
      <w:r>
        <w:rPr>
          <w:rFonts w:hint="eastAsia" w:ascii="仿宋" w:hAnsi="仿宋" w:eastAsia="仿宋" w:cs="仿宋"/>
          <w:b/>
          <w:bCs/>
          <w:color w:val="191919"/>
          <w:sz w:val="32"/>
          <w:szCs w:val="32"/>
          <w:shd w:val="clear" w:color="auto" w:fill="FFFFFF"/>
        </w:rPr>
        <w:t>（四）新三板挂牌条件（全国中小企业股份转让系统）</w:t>
      </w:r>
      <w:bookmarkEnd w:id="70"/>
    </w:p>
    <w:p>
      <w:pPr>
        <w:ind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简介：</w:t>
      </w:r>
      <w:r>
        <w:rPr>
          <w:rFonts w:hint="eastAsia" w:ascii="仿宋" w:hAnsi="仿宋" w:eastAsia="仿宋" w:cs="仿宋"/>
          <w:color w:val="191919"/>
          <w:sz w:val="32"/>
          <w:szCs w:val="32"/>
          <w:shd w:val="clear" w:color="auto" w:fill="FFFFFF"/>
        </w:rPr>
        <w:t>新三板市场即为全国中小企业股份转让系统，主要为创新型、创业型、成长型中小微企业发展服务。新三板设立创新层和基础层，符合不同标准的挂牌公司分别纳入创新层和基础层管理。境内符合条件的股份公司均可通过主办券商申请在新三板挂牌，公开转让股份，进行股权融资、债券融资、资产重组等。新三板股票转让方式可以采用协议方式、做市方式、竞价方式或其他证监会批准的转让方式。</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新三板构成了小微企业，特别是创新型小微企业直接融资的重要平台，尤其是对于既无法满足银行信贷审核要求，也无法满足A股上市条件的小微企业，新三板融资通道的作用更加凸显，是我国多层次资本市场的重要一环。</w:t>
      </w:r>
    </w:p>
    <w:p>
      <w:pPr>
        <w:ind w:firstLine="643" w:firstLineChars="200"/>
        <w:rPr>
          <w:rFonts w:ascii="仿宋" w:hAnsi="仿宋" w:eastAsia="仿宋" w:cs="仿宋"/>
          <w:b/>
          <w:bCs/>
          <w:color w:val="191919"/>
          <w:sz w:val="32"/>
          <w:szCs w:val="32"/>
          <w:shd w:val="clear" w:color="auto" w:fill="FFFFFF"/>
        </w:rPr>
      </w:pPr>
      <w:r>
        <w:rPr>
          <w:rFonts w:hint="eastAsia" w:ascii="仿宋" w:hAnsi="仿宋" w:eastAsia="仿宋" w:cs="仿宋"/>
          <w:b/>
          <w:bCs/>
          <w:color w:val="191919"/>
          <w:sz w:val="32"/>
          <w:szCs w:val="32"/>
          <w:shd w:val="clear" w:color="auto" w:fill="FFFFFF"/>
        </w:rPr>
        <w:t>期限：3—12个月</w:t>
      </w:r>
    </w:p>
    <w:p>
      <w:pPr>
        <w:numPr>
          <w:ilvl w:val="0"/>
          <w:numId w:val="9"/>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依法设立且存续（存在并持续）满两年。有限责任公司按原账面净资产值折股整体变更为股份有限公司的，存续时间可以从有限责任公司成立之日起计算。</w:t>
      </w:r>
    </w:p>
    <w:p>
      <w:pPr>
        <w:numPr>
          <w:ilvl w:val="0"/>
          <w:numId w:val="9"/>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业务明确，具有持续经营能力。</w:t>
      </w:r>
    </w:p>
    <w:p>
      <w:pPr>
        <w:numPr>
          <w:ilvl w:val="0"/>
          <w:numId w:val="9"/>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公司治理机制健全，合法规范经营。</w:t>
      </w:r>
    </w:p>
    <w:p>
      <w:pPr>
        <w:numPr>
          <w:ilvl w:val="0"/>
          <w:numId w:val="9"/>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股权明晰，股票发行和转让行为合法合规。</w:t>
      </w:r>
    </w:p>
    <w:p>
      <w:pPr>
        <w:numPr>
          <w:ilvl w:val="0"/>
          <w:numId w:val="9"/>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fldChar w:fldCharType="begin"/>
      </w:r>
      <w:r>
        <w:rPr>
          <w:rFonts w:hint="eastAsia" w:ascii="仿宋" w:hAnsi="仿宋" w:eastAsia="仿宋" w:cs="仿宋"/>
          <w:color w:val="191919"/>
          <w:sz w:val="32"/>
          <w:szCs w:val="32"/>
          <w:shd w:val="clear" w:color="auto" w:fill="FFFFFF"/>
        </w:rPr>
        <w:instrText xml:space="preserve"> HYPERLINK "https://baike.baidu.com/item/%E4%B8%BB%E5%8A%9E%E5%88%B8%E5%95%86" \t "https://baike.baidu.com/item/%E6%96%B0%E4%B8%89%E6%9D%BF/_blank" </w:instrText>
      </w:r>
      <w:r>
        <w:rPr>
          <w:rFonts w:hint="eastAsia" w:ascii="仿宋" w:hAnsi="仿宋" w:eastAsia="仿宋" w:cs="仿宋"/>
          <w:color w:val="191919"/>
          <w:sz w:val="32"/>
          <w:szCs w:val="32"/>
          <w:shd w:val="clear" w:color="auto" w:fill="FFFFFF"/>
        </w:rPr>
        <w:fldChar w:fldCharType="separate"/>
      </w:r>
      <w:r>
        <w:rPr>
          <w:rFonts w:hint="eastAsia" w:ascii="仿宋" w:hAnsi="仿宋" w:eastAsia="仿宋" w:cs="仿宋"/>
          <w:color w:val="191919"/>
          <w:sz w:val="32"/>
          <w:szCs w:val="32"/>
          <w:shd w:val="clear" w:color="auto" w:fill="FFFFFF"/>
        </w:rPr>
        <w:t>主办券商</w:t>
      </w:r>
      <w:r>
        <w:rPr>
          <w:rFonts w:hint="eastAsia" w:ascii="仿宋" w:hAnsi="仿宋" w:eastAsia="仿宋" w:cs="仿宋"/>
          <w:color w:val="191919"/>
          <w:sz w:val="32"/>
          <w:szCs w:val="32"/>
          <w:shd w:val="clear" w:color="auto" w:fill="FFFFFF"/>
        </w:rPr>
        <w:fldChar w:fldCharType="end"/>
      </w:r>
      <w:r>
        <w:rPr>
          <w:rFonts w:hint="eastAsia" w:ascii="仿宋" w:hAnsi="仿宋" w:eastAsia="仿宋" w:cs="仿宋"/>
          <w:color w:val="191919"/>
          <w:sz w:val="32"/>
          <w:szCs w:val="32"/>
          <w:shd w:val="clear" w:color="auto" w:fill="FFFFFF"/>
        </w:rPr>
        <w:t>推荐并持续督导。</w:t>
      </w:r>
    </w:p>
    <w:p>
      <w:pPr>
        <w:numPr>
          <w:ilvl w:val="0"/>
          <w:numId w:val="9"/>
        </w:num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全国股份转让系统公司要求的其他条件。</w:t>
      </w:r>
    </w:p>
    <w:p>
      <w:pPr>
        <w:numPr>
          <w:ilvl w:val="0"/>
          <w:numId w:val="6"/>
        </w:numPr>
        <w:ind w:firstLine="643" w:firstLineChars="200"/>
        <w:outlineLvl w:val="1"/>
        <w:rPr>
          <w:rFonts w:hint="eastAsia" w:ascii="仿宋" w:hAnsi="仿宋" w:eastAsia="仿宋" w:cs="仿宋"/>
          <w:b/>
          <w:bCs/>
          <w:color w:val="191919"/>
          <w:sz w:val="32"/>
          <w:szCs w:val="32"/>
          <w:shd w:val="clear" w:color="auto" w:fill="FFFFFF"/>
        </w:rPr>
      </w:pPr>
      <w:bookmarkStart w:id="71" w:name="_Toc27740"/>
      <w:r>
        <w:rPr>
          <w:rFonts w:hint="eastAsia" w:ascii="仿宋" w:hAnsi="仿宋" w:eastAsia="仿宋" w:cs="仿宋"/>
          <w:b/>
          <w:bCs/>
          <w:color w:val="191919"/>
          <w:sz w:val="32"/>
          <w:szCs w:val="32"/>
          <w:shd w:val="clear" w:color="auto" w:fill="FFFFFF"/>
        </w:rPr>
        <w:t>科创板挂牌条件（上交所）</w:t>
      </w:r>
      <w:bookmarkEnd w:id="71"/>
    </w:p>
    <w:p>
      <w:pPr>
        <w:ind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简介：</w:t>
      </w:r>
      <w:r>
        <w:rPr>
          <w:rFonts w:hint="eastAsia" w:ascii="仿宋" w:hAnsi="仿宋" w:eastAsia="仿宋" w:cs="仿宋"/>
          <w:color w:val="191919"/>
          <w:sz w:val="32"/>
          <w:szCs w:val="32"/>
          <w:shd w:val="clear" w:color="auto" w:fill="FFFFFF"/>
        </w:rPr>
        <w:t>科创板是我国首个实行注册制的场内市场，主要服务于符合国家战略、突破关键核心技术、市场认可度高的科技创新企业。科创板上市企业普遍具有技术新、研发投入规模大、盈利周期长、技术迭代快、盈利能力不稳定以及严重依赖核心项目、核心技术人员、少数供应商等特点，因此企业上市后的持续创新能力、主营业务发展的可持续性、公司收入及盈利水平等仍具有较大不确定性。另外，科创板竞价交易的涨跌幅限制为20%，对于首次公开发行上市的股票，上市后前5个交易日不设置涨跌幅限制。</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科创板重点关注三类企业：（一）符合国家战略、突破关键核心技术、市场认可度高的科技创新企业；（二）属于新一代信息技术、高端装备、新材料、新能源、节能环保以及生物医药等高新技术产业和战略性新兴产业的科技创新企业；（三）互联网、大数据、云计算、人工智能和制造业深度融合的科技创新企业。</w:t>
      </w:r>
    </w:p>
    <w:p>
      <w:pPr>
        <w:ind w:firstLine="643" w:firstLineChars="200"/>
        <w:rPr>
          <w:rFonts w:ascii="仿宋" w:hAnsi="仿宋" w:eastAsia="仿宋" w:cs="仿宋"/>
          <w:b/>
          <w:bCs/>
          <w:color w:val="191919"/>
          <w:sz w:val="32"/>
          <w:szCs w:val="32"/>
          <w:shd w:val="clear" w:color="auto" w:fill="FFFFFF"/>
        </w:rPr>
      </w:pPr>
      <w:r>
        <w:rPr>
          <w:rFonts w:hint="eastAsia" w:ascii="仿宋" w:hAnsi="仿宋" w:eastAsia="仿宋" w:cs="仿宋"/>
          <w:b/>
          <w:bCs/>
          <w:color w:val="191919"/>
          <w:sz w:val="32"/>
          <w:szCs w:val="32"/>
          <w:shd w:val="clear" w:color="auto" w:fill="FFFFFF"/>
        </w:rPr>
        <w:t>期限：3—12个月</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在上交所新设科创板，坚持面向世界科技前沿、面向经济主战场、面向国家重大需求，主要服务于符合国家战略、突破关键核心技术、市场认可度高的科技创新企业。</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重点支持新一代信息技术、高端装备、新材料、新能源、节能环保以及生物医药等高新技术产业和战略性新兴产业，推动互联网、大数据、云计算、人工智能和制造业深度融合，引领中高端消费，推动质量变革、效率变革、动力变革。</w:t>
      </w:r>
    </w:p>
    <w:p>
      <w:pPr>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科创板试点注册制。</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申请首发上市应当满足以下四方面的基本条件：</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1、组织机构健全，持续经营满3年；</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2、会计基础工作规范，内控制度健全有效；</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3、业务完整并具有直接面向市场独立持续经营的能力；</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4、生产经营合法合规，相关主体不存在《注册管理办法》规定的违法违规记录。</w:t>
      </w:r>
    </w:p>
    <w:p>
      <w:pPr>
        <w:ind w:firstLine="643" w:firstLineChars="200"/>
        <w:outlineLvl w:val="1"/>
        <w:rPr>
          <w:rFonts w:hint="eastAsia" w:ascii="仿宋" w:hAnsi="仿宋" w:eastAsia="仿宋" w:cs="仿宋"/>
          <w:b/>
          <w:bCs/>
          <w:color w:val="191919"/>
          <w:sz w:val="32"/>
          <w:szCs w:val="32"/>
          <w:shd w:val="clear" w:color="auto" w:fill="FFFFFF"/>
        </w:rPr>
      </w:pPr>
      <w:bookmarkStart w:id="72" w:name="_Toc15699"/>
      <w:r>
        <w:rPr>
          <w:rFonts w:hint="eastAsia" w:ascii="仿宋" w:hAnsi="仿宋" w:eastAsia="仿宋" w:cs="仿宋"/>
          <w:b/>
          <w:bCs/>
          <w:color w:val="191919"/>
          <w:sz w:val="32"/>
          <w:szCs w:val="32"/>
          <w:shd w:val="clear" w:color="auto" w:fill="FFFFFF"/>
        </w:rPr>
        <w:t>（六）地方股权交易中心（以中原股权交易中心为例）</w:t>
      </w:r>
      <w:bookmarkEnd w:id="72"/>
    </w:p>
    <w:p>
      <w:pPr>
        <w:ind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简介：</w:t>
      </w:r>
      <w:r>
        <w:rPr>
          <w:rFonts w:hint="eastAsia" w:ascii="仿宋" w:hAnsi="仿宋" w:eastAsia="仿宋" w:cs="仿宋"/>
          <w:color w:val="191919"/>
          <w:sz w:val="32"/>
          <w:szCs w:val="32"/>
          <w:shd w:val="clear" w:color="auto" w:fill="FFFFFF"/>
        </w:rPr>
        <w:t>区域性股权交易市场（下称“区域股权市场”）是为特定区域内的企业提供股权、债券的</w:t>
      </w:r>
      <w:r>
        <w:rPr>
          <w:rFonts w:hint="eastAsia" w:ascii="仿宋" w:hAnsi="仿宋" w:eastAsia="仿宋" w:cs="仿宋"/>
          <w:color w:val="191919"/>
          <w:sz w:val="32"/>
          <w:szCs w:val="32"/>
          <w:shd w:val="clear" w:color="auto" w:fill="FFFFFF"/>
        </w:rPr>
        <w:fldChar w:fldCharType="begin"/>
      </w:r>
      <w:r>
        <w:rPr>
          <w:rFonts w:hint="eastAsia" w:ascii="仿宋" w:hAnsi="仿宋" w:eastAsia="仿宋" w:cs="仿宋"/>
          <w:color w:val="191919"/>
          <w:sz w:val="32"/>
          <w:szCs w:val="32"/>
          <w:shd w:val="clear" w:color="auto" w:fill="FFFFFF"/>
        </w:rPr>
        <w:instrText xml:space="preserve"> HYPERLINK "https://baike.baidu.com/item/%E8%BD%AC%E8%AE%A9/4294706" \t "https://baike.baidu.com/item/%E5%8C%BA%E5%9F%9F%E6%80%A7%E8%82%A1%E6%9D%83%E4%BA%A4%E6%98%93%E5%B8%82%E5%9C%BA/_blank" </w:instrText>
      </w:r>
      <w:r>
        <w:rPr>
          <w:rFonts w:hint="eastAsia" w:ascii="仿宋" w:hAnsi="仿宋" w:eastAsia="仿宋" w:cs="仿宋"/>
          <w:color w:val="191919"/>
          <w:sz w:val="32"/>
          <w:szCs w:val="32"/>
          <w:shd w:val="clear" w:color="auto" w:fill="FFFFFF"/>
        </w:rPr>
        <w:fldChar w:fldCharType="separate"/>
      </w:r>
      <w:r>
        <w:rPr>
          <w:rFonts w:hint="eastAsia" w:ascii="仿宋" w:hAnsi="仿宋" w:eastAsia="仿宋" w:cs="仿宋"/>
          <w:color w:val="191919"/>
          <w:sz w:val="32"/>
          <w:szCs w:val="32"/>
          <w:shd w:val="clear" w:color="auto" w:fill="FFFFFF"/>
        </w:rPr>
        <w:t>转让</w:t>
      </w:r>
      <w:r>
        <w:rPr>
          <w:rFonts w:hint="eastAsia" w:ascii="仿宋" w:hAnsi="仿宋" w:eastAsia="仿宋" w:cs="仿宋"/>
          <w:color w:val="191919"/>
          <w:sz w:val="32"/>
          <w:szCs w:val="32"/>
          <w:shd w:val="clear" w:color="auto" w:fill="FFFFFF"/>
        </w:rPr>
        <w:fldChar w:fldCharType="end"/>
      </w:r>
      <w:r>
        <w:rPr>
          <w:rFonts w:hint="eastAsia" w:ascii="仿宋" w:hAnsi="仿宋" w:eastAsia="仿宋" w:cs="仿宋"/>
          <w:color w:val="191919"/>
          <w:sz w:val="32"/>
          <w:szCs w:val="32"/>
          <w:shd w:val="clear" w:color="auto" w:fill="FFFFFF"/>
        </w:rPr>
        <w:t>和融资服务的私募市场，是我国多层次资本市场的</w:t>
      </w:r>
      <w:r>
        <w:rPr>
          <w:rFonts w:hint="eastAsia" w:ascii="仿宋" w:hAnsi="仿宋" w:eastAsia="仿宋" w:cs="仿宋"/>
          <w:color w:val="191919"/>
          <w:sz w:val="32"/>
          <w:szCs w:val="32"/>
          <w:shd w:val="clear" w:color="auto" w:fill="FFFFFF"/>
        </w:rPr>
        <w:fldChar w:fldCharType="begin"/>
      </w:r>
      <w:r>
        <w:rPr>
          <w:rFonts w:hint="eastAsia" w:ascii="仿宋" w:hAnsi="仿宋" w:eastAsia="仿宋" w:cs="仿宋"/>
          <w:color w:val="191919"/>
          <w:sz w:val="32"/>
          <w:szCs w:val="32"/>
          <w:shd w:val="clear" w:color="auto" w:fill="FFFFFF"/>
        </w:rPr>
        <w:instrText xml:space="preserve"> HYPERLINK "https://baike.baidu.com/item/%E9%87%8D%E8%A6%81%E7%BB%84%E6%88%90%E9%83%A8%E5%88%86/17574833" \t "https://baike.baidu.com/item/%E5%8C%BA%E5%9F%9F%E6%80%A7%E8%82%A1%E6%9D%83%E4%BA%A4%E6%98%93%E5%B8%82%E5%9C%BA/_blank" </w:instrText>
      </w:r>
      <w:r>
        <w:rPr>
          <w:rFonts w:hint="eastAsia" w:ascii="仿宋" w:hAnsi="仿宋" w:eastAsia="仿宋" w:cs="仿宋"/>
          <w:color w:val="191919"/>
          <w:sz w:val="32"/>
          <w:szCs w:val="32"/>
          <w:shd w:val="clear" w:color="auto" w:fill="FFFFFF"/>
        </w:rPr>
        <w:fldChar w:fldCharType="separate"/>
      </w:r>
      <w:r>
        <w:rPr>
          <w:rFonts w:hint="eastAsia" w:ascii="仿宋" w:hAnsi="仿宋" w:eastAsia="仿宋" w:cs="仿宋"/>
          <w:color w:val="191919"/>
          <w:sz w:val="32"/>
          <w:szCs w:val="32"/>
          <w:shd w:val="clear" w:color="auto" w:fill="FFFFFF"/>
        </w:rPr>
        <w:t>重要组成部分</w:t>
      </w:r>
      <w:r>
        <w:rPr>
          <w:rFonts w:hint="eastAsia" w:ascii="仿宋" w:hAnsi="仿宋" w:eastAsia="仿宋" w:cs="仿宋"/>
          <w:color w:val="191919"/>
          <w:sz w:val="32"/>
          <w:szCs w:val="32"/>
          <w:shd w:val="clear" w:color="auto" w:fill="FFFFFF"/>
        </w:rPr>
        <w:fldChar w:fldCharType="end"/>
      </w:r>
      <w:r>
        <w:rPr>
          <w:rFonts w:hint="eastAsia" w:ascii="仿宋" w:hAnsi="仿宋" w:eastAsia="仿宋" w:cs="仿宋"/>
          <w:color w:val="191919"/>
          <w:sz w:val="32"/>
          <w:szCs w:val="32"/>
          <w:shd w:val="clear" w:color="auto" w:fill="FFFFFF"/>
        </w:rPr>
        <w:t>，亦是中国多层次资本市场建设中必不可少的部分。对于促进企业特别是中小微企业股权交易和融资，鼓励科技创新和激活民间资本，加强对实体经济薄弱环节的支持，</w:t>
      </w:r>
      <w:r>
        <w:rPr>
          <w:rFonts w:hint="eastAsia" w:ascii="仿宋" w:hAnsi="仿宋" w:eastAsia="仿宋" w:cs="仿宋"/>
          <w:color w:val="191919"/>
          <w:sz w:val="32"/>
          <w:szCs w:val="32"/>
          <w:shd w:val="clear" w:color="auto" w:fill="FFFFFF"/>
        </w:rPr>
        <w:fldChar w:fldCharType="begin"/>
      </w:r>
      <w:r>
        <w:rPr>
          <w:rFonts w:hint="eastAsia" w:ascii="仿宋" w:hAnsi="仿宋" w:eastAsia="仿宋" w:cs="仿宋"/>
          <w:color w:val="191919"/>
          <w:sz w:val="32"/>
          <w:szCs w:val="32"/>
          <w:shd w:val="clear" w:color="auto" w:fill="FFFFFF"/>
        </w:rPr>
        <w:instrText xml:space="preserve"> HYPERLINK "https://baike.baidu.com/item/%E5%85%B7%E6%9C%89/10801595" \t "https://baike.baidu.com/item/%E5%8C%BA%E5%9F%9F%E6%80%A7%E8%82%A1%E6%9D%83%E4%BA%A4%E6%98%93%E5%B8%82%E5%9C%BA/_blank" </w:instrText>
      </w:r>
      <w:r>
        <w:rPr>
          <w:rFonts w:hint="eastAsia" w:ascii="仿宋" w:hAnsi="仿宋" w:eastAsia="仿宋" w:cs="仿宋"/>
          <w:color w:val="191919"/>
          <w:sz w:val="32"/>
          <w:szCs w:val="32"/>
          <w:shd w:val="clear" w:color="auto" w:fill="FFFFFF"/>
        </w:rPr>
        <w:fldChar w:fldCharType="separate"/>
      </w:r>
      <w:r>
        <w:rPr>
          <w:rFonts w:hint="eastAsia" w:ascii="仿宋" w:hAnsi="仿宋" w:eastAsia="仿宋" w:cs="仿宋"/>
          <w:color w:val="191919"/>
          <w:sz w:val="32"/>
          <w:szCs w:val="32"/>
          <w:shd w:val="clear" w:color="auto" w:fill="FFFFFF"/>
        </w:rPr>
        <w:t>具有</w:t>
      </w:r>
      <w:r>
        <w:rPr>
          <w:rFonts w:hint="eastAsia" w:ascii="仿宋" w:hAnsi="仿宋" w:eastAsia="仿宋" w:cs="仿宋"/>
          <w:color w:val="191919"/>
          <w:sz w:val="32"/>
          <w:szCs w:val="32"/>
          <w:shd w:val="clear" w:color="auto" w:fill="FFFFFF"/>
        </w:rPr>
        <w:fldChar w:fldCharType="end"/>
      </w:r>
      <w:r>
        <w:rPr>
          <w:rFonts w:hint="eastAsia" w:ascii="仿宋" w:hAnsi="仿宋" w:eastAsia="仿宋" w:cs="仿宋"/>
          <w:color w:val="191919"/>
          <w:sz w:val="32"/>
          <w:szCs w:val="32"/>
          <w:shd w:val="clear" w:color="auto" w:fill="FFFFFF"/>
        </w:rPr>
        <w:t>积极作用。</w:t>
      </w:r>
    </w:p>
    <w:p>
      <w:pPr>
        <w:ind w:firstLine="643" w:firstLineChars="200"/>
        <w:rPr>
          <w:rFonts w:ascii="仿宋" w:hAnsi="仿宋" w:eastAsia="仿宋" w:cs="仿宋"/>
          <w:b/>
          <w:bCs/>
          <w:color w:val="191919"/>
          <w:sz w:val="32"/>
          <w:szCs w:val="32"/>
          <w:shd w:val="clear" w:color="auto" w:fill="FFFFFF"/>
        </w:rPr>
      </w:pPr>
      <w:r>
        <w:rPr>
          <w:rFonts w:hint="eastAsia" w:ascii="仿宋" w:hAnsi="仿宋" w:eastAsia="仿宋" w:cs="仿宋"/>
          <w:b/>
          <w:bCs/>
          <w:color w:val="191919"/>
          <w:sz w:val="32"/>
          <w:szCs w:val="32"/>
          <w:shd w:val="clear" w:color="auto" w:fill="FFFFFF"/>
        </w:rPr>
        <w:t>期限：3—12个月</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1、依法设立且存续满十二个月。有限责任公司按原账面净资产值折股整体变更为股份有限公司的，存续时间可以从有限责任公司成立之日起计算;</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2、业务明确，具有持续经营能力;</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3、公司治理机制健全，合法规范经营;</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4、股权明晰，股票发行和转让行为合法合规;</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5、推荐机构会员推荐并持续督导;</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6、中心规定的其他条件。</w:t>
      </w:r>
    </w:p>
    <w:p>
      <w:pPr>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以上各板块上市挂牌条件会根据实际运行情况进行调整。</w:t>
      </w:r>
    </w:p>
    <w:p>
      <w:pPr>
        <w:rPr>
          <w:rFonts w:hint="eastAsia" w:ascii="仿宋" w:hAnsi="仿宋" w:eastAsia="仿宋" w:cs="仿宋"/>
          <w:color w:val="191919"/>
          <w:sz w:val="32"/>
          <w:szCs w:val="32"/>
          <w:shd w:val="clear" w:color="auto" w:fill="FFFFFF"/>
        </w:rPr>
      </w:pPr>
    </w:p>
    <w:p>
      <w:pPr>
        <w:rPr>
          <w:rFonts w:hint="eastAsia" w:ascii="仿宋" w:hAnsi="仿宋" w:eastAsia="仿宋" w:cs="仿宋"/>
          <w:color w:val="191919"/>
          <w:sz w:val="32"/>
          <w:szCs w:val="32"/>
          <w:shd w:val="clear" w:color="auto" w:fill="FFFFFF"/>
        </w:rPr>
      </w:pPr>
    </w:p>
    <w:p>
      <w:pPr>
        <w:ind w:firstLine="720" w:firstLineChars="200"/>
        <w:jc w:val="center"/>
        <w:outlineLvl w:val="0"/>
        <w:rPr>
          <w:rFonts w:hint="eastAsia" w:ascii="黑体" w:hAnsi="黑体" w:eastAsia="黑体"/>
          <w:b w:val="0"/>
          <w:bCs/>
          <w:sz w:val="36"/>
          <w:szCs w:val="36"/>
          <w:lang w:eastAsia="zh-CN"/>
        </w:rPr>
      </w:pPr>
      <w:bookmarkStart w:id="73" w:name="_Toc7866"/>
      <w:r>
        <w:rPr>
          <w:rFonts w:hint="eastAsia" w:ascii="黑体" w:hAnsi="黑体" w:eastAsia="黑体"/>
          <w:b w:val="0"/>
          <w:bCs/>
          <w:sz w:val="36"/>
          <w:szCs w:val="36"/>
          <w:lang w:eastAsia="zh-CN"/>
        </w:rPr>
        <w:t>奖补政策</w:t>
      </w:r>
      <w:bookmarkEnd w:id="73"/>
    </w:p>
    <w:p>
      <w:pPr>
        <w:ind w:firstLine="643" w:firstLineChars="200"/>
        <w:jc w:val="center"/>
        <w:rPr>
          <w:rFonts w:hint="eastAsia" w:ascii="黑体" w:hAnsi="黑体" w:eastAsia="黑体"/>
          <w:b/>
          <w:sz w:val="32"/>
          <w:szCs w:val="32"/>
          <w:lang w:eastAsia="zh-CN"/>
        </w:rPr>
      </w:pPr>
    </w:p>
    <w:p>
      <w:pPr>
        <w:jc w:val="center"/>
        <w:outlineLvl w:val="0"/>
        <w:rPr>
          <w:rFonts w:hint="eastAsia" w:ascii="方正小标宋简体" w:hAnsi="宋体" w:eastAsia="方正小标宋简体" w:cs="仿宋"/>
          <w:sz w:val="40"/>
          <w:szCs w:val="32"/>
        </w:rPr>
      </w:pPr>
      <w:bookmarkStart w:id="74" w:name="_Toc27729"/>
      <w:r>
        <w:rPr>
          <w:rFonts w:hint="eastAsia" w:ascii="方正小标宋简体" w:hAnsi="宋体" w:eastAsia="方正小标宋简体" w:cs="仿宋"/>
          <w:sz w:val="40"/>
          <w:szCs w:val="32"/>
        </w:rPr>
        <w:t>文峰区（高新区）企业上市辅导奖补政策</w:t>
      </w:r>
      <w:bookmarkEnd w:id="74"/>
    </w:p>
    <w:p>
      <w:pPr>
        <w:jc w:val="center"/>
        <w:rPr>
          <w:rFonts w:ascii="宋体" w:hAnsi="宋体" w:eastAsia="仿宋_GB2312" w:cs="仿宋"/>
          <w:sz w:val="32"/>
          <w:szCs w:val="32"/>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1"/>
        <w:gridCol w:w="2520"/>
        <w:gridCol w:w="15"/>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481"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奖补要求</w:t>
            </w:r>
          </w:p>
        </w:tc>
        <w:tc>
          <w:tcPr>
            <w:tcW w:w="5041" w:type="dxa"/>
            <w:gridSpan w:val="3"/>
            <w:vAlign w:val="center"/>
          </w:tcPr>
          <w:p>
            <w:pPr>
              <w:jc w:val="center"/>
              <w:rPr>
                <w:rFonts w:ascii="宋体" w:hAnsi="宋体" w:eastAsia="仿宋_GB2312" w:cs="仿宋"/>
                <w:sz w:val="32"/>
                <w:szCs w:val="32"/>
              </w:rPr>
            </w:pPr>
            <w:r>
              <w:rPr>
                <w:rFonts w:hint="eastAsia" w:ascii="宋体" w:hAnsi="宋体" w:eastAsia="仿宋_GB2312" w:cs="仿宋"/>
                <w:sz w:val="32"/>
                <w:szCs w:val="32"/>
              </w:rPr>
              <w:t>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481" w:type="dxa"/>
            <w:vAlign w:val="center"/>
          </w:tcPr>
          <w:p>
            <w:pPr>
              <w:jc w:val="center"/>
              <w:rPr>
                <w:rFonts w:hint="eastAsia" w:ascii="宋体" w:hAnsi="宋体" w:eastAsia="仿宋_GB2312" w:cs="仿宋"/>
                <w:sz w:val="32"/>
                <w:szCs w:val="32"/>
              </w:rPr>
            </w:pPr>
          </w:p>
        </w:tc>
        <w:tc>
          <w:tcPr>
            <w:tcW w:w="2520"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区级</w:t>
            </w:r>
          </w:p>
        </w:tc>
        <w:tc>
          <w:tcPr>
            <w:tcW w:w="2521" w:type="dxa"/>
            <w:gridSpan w:val="2"/>
            <w:vAlign w:val="center"/>
          </w:tcPr>
          <w:p>
            <w:pPr>
              <w:jc w:val="center"/>
              <w:rPr>
                <w:rFonts w:ascii="宋体" w:hAnsi="宋体" w:eastAsia="仿宋_GB2312" w:cs="仿宋"/>
                <w:sz w:val="32"/>
                <w:szCs w:val="32"/>
              </w:rPr>
            </w:pPr>
            <w:r>
              <w:rPr>
                <w:rFonts w:hint="eastAsia" w:ascii="宋体" w:hAnsi="宋体" w:eastAsia="仿宋_GB2312" w:cs="仿宋"/>
                <w:sz w:val="32"/>
                <w:szCs w:val="32"/>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481" w:type="dxa"/>
            <w:vAlign w:val="center"/>
          </w:tcPr>
          <w:p>
            <w:pPr>
              <w:jc w:val="center"/>
              <w:rPr>
                <w:rFonts w:hint="eastAsia" w:ascii="宋体" w:hAnsi="宋体" w:eastAsia="仿宋_GB2312" w:cs="仿宋"/>
                <w:sz w:val="32"/>
                <w:szCs w:val="32"/>
              </w:rPr>
            </w:pPr>
            <w:r>
              <w:rPr>
                <w:rFonts w:hint="eastAsia" w:ascii="宋体" w:hAnsi="宋体" w:eastAsia="仿宋_GB2312" w:cs="仿宋"/>
                <w:sz w:val="32"/>
                <w:szCs w:val="32"/>
              </w:rPr>
              <w:t>企业在中介机构指导下完成股改的，以取得营业执照为准</w:t>
            </w:r>
          </w:p>
        </w:tc>
        <w:tc>
          <w:tcPr>
            <w:tcW w:w="2520" w:type="dxa"/>
            <w:vAlign w:val="center"/>
          </w:tcPr>
          <w:p>
            <w:pPr>
              <w:jc w:val="center"/>
              <w:rPr>
                <w:rFonts w:hint="eastAsia" w:ascii="宋体" w:hAnsi="宋体" w:eastAsia="仿宋_GB2312" w:cs="仿宋"/>
                <w:sz w:val="32"/>
                <w:szCs w:val="32"/>
              </w:rPr>
            </w:pPr>
            <w:r>
              <w:rPr>
                <w:rFonts w:hint="eastAsia" w:ascii="宋体" w:hAnsi="宋体" w:eastAsia="仿宋_GB2312" w:cs="仿宋"/>
                <w:sz w:val="32"/>
                <w:szCs w:val="32"/>
              </w:rPr>
              <w:t>/</w:t>
            </w:r>
          </w:p>
        </w:tc>
        <w:tc>
          <w:tcPr>
            <w:tcW w:w="2521" w:type="dxa"/>
            <w:gridSpan w:val="2"/>
            <w:vAlign w:val="center"/>
          </w:tcPr>
          <w:p>
            <w:pPr>
              <w:jc w:val="center"/>
              <w:rPr>
                <w:rFonts w:hint="eastAsia" w:ascii="宋体" w:hAnsi="宋体" w:eastAsia="仿宋_GB2312" w:cs="仿宋"/>
                <w:sz w:val="32"/>
                <w:szCs w:val="32"/>
              </w:rPr>
            </w:pPr>
            <w:r>
              <w:rPr>
                <w:rFonts w:hint="eastAsia" w:ascii="宋体" w:hAnsi="宋体" w:eastAsia="仿宋_GB2312" w:cs="仿宋"/>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481" w:type="dxa"/>
            <w:vAlign w:val="center"/>
          </w:tcPr>
          <w:p>
            <w:pPr>
              <w:jc w:val="center"/>
              <w:rPr>
                <w:rFonts w:hint="eastAsia" w:ascii="宋体" w:hAnsi="宋体" w:eastAsia="仿宋_GB2312" w:cs="仿宋"/>
                <w:sz w:val="32"/>
                <w:szCs w:val="32"/>
              </w:rPr>
            </w:pPr>
            <w:r>
              <w:rPr>
                <w:rFonts w:hint="eastAsia" w:ascii="宋体" w:hAnsi="宋体" w:eastAsia="仿宋_GB2312" w:cs="仿宋"/>
                <w:sz w:val="32"/>
                <w:szCs w:val="32"/>
              </w:rPr>
              <w:t>向河南证监局递交辅导备案材料并受理的企业</w:t>
            </w:r>
          </w:p>
        </w:tc>
        <w:tc>
          <w:tcPr>
            <w:tcW w:w="2520" w:type="dxa"/>
            <w:vAlign w:val="center"/>
          </w:tcPr>
          <w:p>
            <w:pPr>
              <w:jc w:val="center"/>
              <w:rPr>
                <w:rFonts w:hint="eastAsia" w:ascii="宋体" w:hAnsi="宋体" w:eastAsia="仿宋_GB2312" w:cs="仿宋"/>
                <w:sz w:val="32"/>
                <w:szCs w:val="32"/>
              </w:rPr>
            </w:pPr>
            <w:r>
              <w:rPr>
                <w:rFonts w:hint="eastAsia" w:ascii="宋体" w:hAnsi="宋体" w:eastAsia="仿宋_GB2312" w:cs="仿宋"/>
                <w:sz w:val="32"/>
                <w:szCs w:val="32"/>
              </w:rPr>
              <w:t>/</w:t>
            </w:r>
          </w:p>
        </w:tc>
        <w:tc>
          <w:tcPr>
            <w:tcW w:w="2521" w:type="dxa"/>
            <w:gridSpan w:val="2"/>
            <w:vAlign w:val="center"/>
          </w:tcPr>
          <w:p>
            <w:pPr>
              <w:jc w:val="center"/>
              <w:rPr>
                <w:rFonts w:hint="eastAsia" w:ascii="宋体" w:hAnsi="宋体" w:eastAsia="仿宋_GB2312" w:cs="仿宋"/>
                <w:sz w:val="32"/>
                <w:szCs w:val="32"/>
              </w:rPr>
            </w:pPr>
            <w:r>
              <w:rPr>
                <w:rFonts w:hint="eastAsia" w:ascii="宋体" w:hAnsi="宋体" w:eastAsia="仿宋_GB2312" w:cs="仿宋"/>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481" w:type="dxa"/>
            <w:vAlign w:val="center"/>
          </w:tcPr>
          <w:p>
            <w:pPr>
              <w:jc w:val="center"/>
              <w:rPr>
                <w:rFonts w:hint="eastAsia" w:ascii="宋体" w:hAnsi="宋体" w:eastAsia="仿宋_GB2312" w:cs="仿宋"/>
                <w:sz w:val="32"/>
                <w:szCs w:val="32"/>
              </w:rPr>
            </w:pPr>
            <w:r>
              <w:rPr>
                <w:rFonts w:hint="eastAsia" w:ascii="宋体" w:hAnsi="宋体" w:eastAsia="仿宋_GB2312" w:cs="仿宋"/>
                <w:sz w:val="32"/>
                <w:szCs w:val="32"/>
              </w:rPr>
              <w:t>完成上市辅导并经河南证监局验收通过，向证券监管部门或证券交易所递交首发上市申请（注册）材料</w:t>
            </w:r>
          </w:p>
        </w:tc>
        <w:tc>
          <w:tcPr>
            <w:tcW w:w="2520" w:type="dxa"/>
            <w:vAlign w:val="center"/>
          </w:tcPr>
          <w:p>
            <w:pPr>
              <w:jc w:val="center"/>
              <w:rPr>
                <w:rFonts w:hint="eastAsia" w:ascii="宋体" w:hAnsi="宋体" w:eastAsia="仿宋_GB2312" w:cs="仿宋"/>
                <w:sz w:val="32"/>
                <w:szCs w:val="32"/>
              </w:rPr>
            </w:pPr>
            <w:r>
              <w:rPr>
                <w:rFonts w:hint="eastAsia" w:ascii="宋体" w:hAnsi="宋体" w:eastAsia="仿宋_GB2312" w:cs="仿宋"/>
                <w:sz w:val="32"/>
                <w:szCs w:val="32"/>
              </w:rPr>
              <w:t>/</w:t>
            </w:r>
          </w:p>
        </w:tc>
        <w:tc>
          <w:tcPr>
            <w:tcW w:w="2521" w:type="dxa"/>
            <w:gridSpan w:val="2"/>
            <w:vAlign w:val="center"/>
          </w:tcPr>
          <w:p>
            <w:pPr>
              <w:jc w:val="center"/>
              <w:rPr>
                <w:rFonts w:hint="eastAsia" w:ascii="宋体" w:hAnsi="宋体" w:eastAsia="仿宋_GB2312" w:cs="仿宋"/>
                <w:sz w:val="32"/>
                <w:szCs w:val="32"/>
              </w:rPr>
            </w:pPr>
            <w:r>
              <w:rPr>
                <w:rFonts w:hint="eastAsia" w:ascii="宋体" w:hAnsi="宋体" w:eastAsia="仿宋_GB2312" w:cs="仿宋"/>
                <w:sz w:val="32"/>
                <w:szCs w:val="3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481"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获股票上市发行审核通过并拿到发行批文（境内外主板、中小板、创业板成功上市企业）</w:t>
            </w:r>
          </w:p>
        </w:tc>
        <w:tc>
          <w:tcPr>
            <w:tcW w:w="2535" w:type="dxa"/>
            <w:gridSpan w:val="2"/>
            <w:vMerge w:val="restart"/>
            <w:vAlign w:val="center"/>
          </w:tcPr>
          <w:p>
            <w:pPr>
              <w:jc w:val="center"/>
              <w:rPr>
                <w:rFonts w:hint="eastAsia" w:ascii="宋体" w:hAnsi="宋体" w:eastAsia="仿宋_GB2312" w:cs="仿宋"/>
                <w:sz w:val="32"/>
                <w:szCs w:val="32"/>
              </w:rPr>
            </w:pPr>
          </w:p>
          <w:p>
            <w:pPr>
              <w:jc w:val="center"/>
              <w:rPr>
                <w:rFonts w:ascii="宋体" w:hAnsi="宋体" w:eastAsia="仿宋_GB2312" w:cs="仿宋"/>
                <w:sz w:val="32"/>
                <w:szCs w:val="32"/>
              </w:rPr>
            </w:pPr>
            <w:r>
              <w:rPr>
                <w:rFonts w:hint="eastAsia" w:ascii="宋体" w:hAnsi="宋体" w:eastAsia="仿宋_GB2312" w:cs="仿宋"/>
                <w:sz w:val="32"/>
                <w:szCs w:val="32"/>
              </w:rPr>
              <w:t>300</w:t>
            </w:r>
          </w:p>
          <w:p>
            <w:pPr>
              <w:jc w:val="center"/>
              <w:rPr>
                <w:rFonts w:ascii="宋体" w:hAnsi="宋体" w:eastAsia="仿宋_GB2312" w:cs="仿宋"/>
                <w:sz w:val="32"/>
                <w:szCs w:val="32"/>
              </w:rPr>
            </w:pPr>
          </w:p>
        </w:tc>
        <w:tc>
          <w:tcPr>
            <w:tcW w:w="2506"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81"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获股票上市发行审核通过并拿到发行批文（科创板首发企业）</w:t>
            </w:r>
          </w:p>
        </w:tc>
        <w:tc>
          <w:tcPr>
            <w:tcW w:w="2535" w:type="dxa"/>
            <w:gridSpan w:val="2"/>
            <w:vMerge w:val="continue"/>
            <w:vAlign w:val="center"/>
          </w:tcPr>
          <w:p>
            <w:pPr>
              <w:jc w:val="center"/>
              <w:rPr>
                <w:rFonts w:ascii="宋体" w:hAnsi="宋体" w:eastAsia="仿宋_GB2312" w:cs="仿宋"/>
                <w:sz w:val="32"/>
                <w:szCs w:val="32"/>
              </w:rPr>
            </w:pPr>
          </w:p>
        </w:tc>
        <w:tc>
          <w:tcPr>
            <w:tcW w:w="2506"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481"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新三板              精选层挂牌企业</w:t>
            </w:r>
          </w:p>
        </w:tc>
        <w:tc>
          <w:tcPr>
            <w:tcW w:w="2535" w:type="dxa"/>
            <w:gridSpan w:val="2"/>
            <w:vAlign w:val="center"/>
          </w:tcPr>
          <w:p>
            <w:pPr>
              <w:jc w:val="center"/>
              <w:rPr>
                <w:rFonts w:ascii="宋体" w:hAnsi="宋体" w:eastAsia="仿宋_GB2312" w:cs="仿宋"/>
                <w:sz w:val="32"/>
                <w:szCs w:val="32"/>
              </w:rPr>
            </w:pPr>
            <w:r>
              <w:rPr>
                <w:rFonts w:hint="eastAsia" w:ascii="宋体" w:hAnsi="宋体" w:eastAsia="仿宋_GB2312" w:cs="仿宋"/>
                <w:sz w:val="32"/>
                <w:szCs w:val="32"/>
              </w:rPr>
              <w:t>50</w:t>
            </w:r>
          </w:p>
        </w:tc>
        <w:tc>
          <w:tcPr>
            <w:tcW w:w="2506"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81"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中原股权交易中心   展示板企业</w:t>
            </w:r>
          </w:p>
        </w:tc>
        <w:tc>
          <w:tcPr>
            <w:tcW w:w="2535" w:type="dxa"/>
            <w:gridSpan w:val="2"/>
            <w:vAlign w:val="center"/>
          </w:tcPr>
          <w:p>
            <w:pPr>
              <w:jc w:val="center"/>
              <w:rPr>
                <w:rFonts w:ascii="宋体" w:hAnsi="宋体" w:eastAsia="仿宋_GB2312" w:cs="仿宋"/>
                <w:sz w:val="32"/>
                <w:szCs w:val="32"/>
              </w:rPr>
            </w:pPr>
            <w:r>
              <w:rPr>
                <w:rFonts w:hint="eastAsia" w:ascii="宋体" w:hAnsi="宋体" w:eastAsia="仿宋_GB2312" w:cs="仿宋"/>
                <w:sz w:val="32"/>
                <w:szCs w:val="32"/>
              </w:rPr>
              <w:t>5</w:t>
            </w:r>
          </w:p>
        </w:tc>
        <w:tc>
          <w:tcPr>
            <w:tcW w:w="2506"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81"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中原股权交易中心   交易板企业</w:t>
            </w:r>
          </w:p>
        </w:tc>
        <w:tc>
          <w:tcPr>
            <w:tcW w:w="2535" w:type="dxa"/>
            <w:gridSpan w:val="2"/>
            <w:vAlign w:val="center"/>
          </w:tcPr>
          <w:p>
            <w:pPr>
              <w:jc w:val="center"/>
              <w:rPr>
                <w:rFonts w:ascii="宋体" w:hAnsi="宋体" w:eastAsia="仿宋_GB2312" w:cs="仿宋"/>
                <w:sz w:val="32"/>
                <w:szCs w:val="32"/>
              </w:rPr>
            </w:pPr>
            <w:r>
              <w:rPr>
                <w:rFonts w:hint="eastAsia" w:ascii="宋体" w:hAnsi="宋体" w:eastAsia="仿宋_GB2312" w:cs="仿宋"/>
                <w:sz w:val="32"/>
                <w:szCs w:val="32"/>
              </w:rPr>
              <w:t>20</w:t>
            </w:r>
          </w:p>
        </w:tc>
        <w:tc>
          <w:tcPr>
            <w:tcW w:w="2506"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81"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中原股权交易中心   后备板企业</w:t>
            </w:r>
          </w:p>
        </w:tc>
        <w:tc>
          <w:tcPr>
            <w:tcW w:w="2535" w:type="dxa"/>
            <w:gridSpan w:val="2"/>
            <w:vAlign w:val="center"/>
          </w:tcPr>
          <w:p>
            <w:pPr>
              <w:jc w:val="center"/>
              <w:rPr>
                <w:rFonts w:ascii="宋体" w:hAnsi="宋体" w:eastAsia="仿宋_GB2312" w:cs="仿宋"/>
                <w:sz w:val="32"/>
                <w:szCs w:val="32"/>
              </w:rPr>
            </w:pPr>
            <w:r>
              <w:rPr>
                <w:rFonts w:hint="eastAsia" w:ascii="宋体" w:hAnsi="宋体" w:eastAsia="仿宋_GB2312" w:cs="仿宋"/>
                <w:sz w:val="32"/>
                <w:szCs w:val="32"/>
              </w:rPr>
              <w:t>/</w:t>
            </w:r>
          </w:p>
        </w:tc>
        <w:tc>
          <w:tcPr>
            <w:tcW w:w="2506" w:type="dxa"/>
            <w:vAlign w:val="center"/>
          </w:tcPr>
          <w:p>
            <w:pPr>
              <w:jc w:val="center"/>
              <w:rPr>
                <w:rFonts w:ascii="宋体" w:hAnsi="宋体" w:eastAsia="仿宋_GB2312" w:cs="仿宋"/>
                <w:sz w:val="32"/>
                <w:szCs w:val="32"/>
              </w:rPr>
            </w:pPr>
            <w:r>
              <w:rPr>
                <w:rFonts w:hint="eastAsia" w:ascii="宋体" w:hAnsi="宋体" w:eastAsia="仿宋_GB2312" w:cs="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ascii="宋体" w:hAnsi="宋体" w:eastAsia="仿宋_GB2312" w:cs="仿宋"/>
                <w:sz w:val="32"/>
                <w:szCs w:val="32"/>
              </w:rPr>
            </w:pPr>
            <w:r>
              <w:rPr>
                <w:rFonts w:hint="eastAsia" w:ascii="宋体" w:hAnsi="宋体" w:eastAsia="仿宋_GB2312" w:cs="仿宋"/>
                <w:sz w:val="32"/>
                <w:szCs w:val="32"/>
              </w:rPr>
              <w:t>备注</w:t>
            </w:r>
          </w:p>
          <w:p>
            <w:pPr>
              <w:ind w:firstLine="640" w:firstLineChars="200"/>
              <w:rPr>
                <w:rFonts w:ascii="仿宋" w:hAnsi="仿宋" w:eastAsia="仿宋"/>
                <w:sz w:val="32"/>
                <w:szCs w:val="32"/>
              </w:rPr>
            </w:pPr>
            <w:r>
              <w:rPr>
                <w:rFonts w:ascii="仿宋" w:hAnsi="仿宋" w:eastAsia="仿宋"/>
                <w:sz w:val="32"/>
                <w:szCs w:val="32"/>
              </w:rPr>
              <w:t>对已上市、已在“新三板”和中原股权交易中心挂牌企业首次以配股、增发、可转债等方式实现再融资且募集资金80%以上投资于我市的，按照募集资金的2‰给予奖励，最高限额50万元。</w:t>
            </w:r>
          </w:p>
          <w:p>
            <w:pPr>
              <w:ind w:firstLine="640" w:firstLineChars="200"/>
              <w:rPr>
                <w:rFonts w:ascii="仿宋" w:hAnsi="仿宋" w:eastAsia="仿宋"/>
                <w:sz w:val="32"/>
                <w:szCs w:val="32"/>
              </w:rPr>
            </w:pPr>
            <w:r>
              <w:rPr>
                <w:rFonts w:hint="eastAsia" w:ascii="仿宋" w:hAnsi="仿宋" w:eastAsia="仿宋"/>
                <w:sz w:val="32"/>
                <w:szCs w:val="32"/>
                <w:lang w:eastAsia="zh-CN"/>
              </w:rPr>
              <w:t>以</w:t>
            </w:r>
            <w:r>
              <w:rPr>
                <w:rFonts w:hint="eastAsia" w:ascii="仿宋" w:hAnsi="仿宋" w:eastAsia="仿宋"/>
                <w:sz w:val="32"/>
                <w:szCs w:val="32"/>
              </w:rPr>
              <w:t>上具体要求及奖励条件以证监会及交易所（交易中心）最新要求和政策为准。</w:t>
            </w:r>
          </w:p>
        </w:tc>
      </w:tr>
    </w:tbl>
    <w:p>
      <w:pPr>
        <w:ind w:firstLine="640" w:firstLineChars="200"/>
        <w:rPr>
          <w:rFonts w:ascii="仿宋" w:hAnsi="仿宋" w:eastAsia="仿宋"/>
          <w:sz w:val="32"/>
          <w:szCs w:val="32"/>
        </w:rPr>
      </w:pPr>
    </w:p>
    <w:p>
      <w:pPr>
        <w:ind w:firstLine="640" w:firstLineChars="200"/>
        <w:rPr>
          <w:rFonts w:hint="eastAsia" w:ascii="仿宋" w:hAnsi="仿宋" w:eastAsia="仿宋"/>
          <w:sz w:val="32"/>
          <w:szCs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503BB"/>
    <w:multiLevelType w:val="singleLevel"/>
    <w:tmpl w:val="A34503BB"/>
    <w:lvl w:ilvl="0" w:tentative="0">
      <w:start w:val="1"/>
      <w:numFmt w:val="chineseCounting"/>
      <w:suff w:val="nothing"/>
      <w:lvlText w:val="%1、"/>
      <w:lvlJc w:val="left"/>
      <w:rPr>
        <w:rFonts w:hint="eastAsia"/>
      </w:rPr>
    </w:lvl>
  </w:abstractNum>
  <w:abstractNum w:abstractNumId="1">
    <w:nsid w:val="B45095E9"/>
    <w:multiLevelType w:val="singleLevel"/>
    <w:tmpl w:val="B45095E9"/>
    <w:lvl w:ilvl="0" w:tentative="0">
      <w:start w:val="1"/>
      <w:numFmt w:val="chineseCounting"/>
      <w:suff w:val="nothing"/>
      <w:lvlText w:val="（%1）"/>
      <w:lvlJc w:val="left"/>
      <w:rPr>
        <w:rFonts w:hint="eastAsia"/>
      </w:rPr>
    </w:lvl>
  </w:abstractNum>
  <w:abstractNum w:abstractNumId="2">
    <w:nsid w:val="DB704B9C"/>
    <w:multiLevelType w:val="singleLevel"/>
    <w:tmpl w:val="DB704B9C"/>
    <w:lvl w:ilvl="0" w:tentative="0">
      <w:start w:val="1"/>
      <w:numFmt w:val="chineseCounting"/>
      <w:suff w:val="space"/>
      <w:lvlText w:val="（%1）"/>
      <w:lvlJc w:val="left"/>
      <w:rPr>
        <w:rFonts w:hint="eastAsia"/>
      </w:rPr>
    </w:lvl>
  </w:abstractNum>
  <w:abstractNum w:abstractNumId="3">
    <w:nsid w:val="E41A37E7"/>
    <w:multiLevelType w:val="singleLevel"/>
    <w:tmpl w:val="E41A37E7"/>
    <w:lvl w:ilvl="0" w:tentative="0">
      <w:start w:val="1"/>
      <w:numFmt w:val="decimal"/>
      <w:lvlText w:val="%1."/>
      <w:lvlJc w:val="left"/>
      <w:pPr>
        <w:tabs>
          <w:tab w:val="left" w:pos="312"/>
        </w:tabs>
      </w:pPr>
    </w:lvl>
  </w:abstractNum>
  <w:abstractNum w:abstractNumId="4">
    <w:nsid w:val="237C89FD"/>
    <w:multiLevelType w:val="singleLevel"/>
    <w:tmpl w:val="237C89FD"/>
    <w:lvl w:ilvl="0" w:tentative="0">
      <w:start w:val="1"/>
      <w:numFmt w:val="chineseCounting"/>
      <w:suff w:val="nothing"/>
      <w:lvlText w:val="（%1）"/>
      <w:lvlJc w:val="left"/>
      <w:rPr>
        <w:rFonts w:hint="eastAsia"/>
      </w:rPr>
    </w:lvl>
  </w:abstractNum>
  <w:abstractNum w:abstractNumId="5">
    <w:nsid w:val="3656A408"/>
    <w:multiLevelType w:val="singleLevel"/>
    <w:tmpl w:val="3656A408"/>
    <w:lvl w:ilvl="0" w:tentative="0">
      <w:start w:val="1"/>
      <w:numFmt w:val="chineseCounting"/>
      <w:suff w:val="nothing"/>
      <w:lvlText w:val="（%1）"/>
      <w:lvlJc w:val="left"/>
      <w:rPr>
        <w:rFonts w:hint="eastAsia"/>
      </w:rPr>
    </w:lvl>
  </w:abstractNum>
  <w:abstractNum w:abstractNumId="6">
    <w:nsid w:val="38DA2F3C"/>
    <w:multiLevelType w:val="singleLevel"/>
    <w:tmpl w:val="38DA2F3C"/>
    <w:lvl w:ilvl="0" w:tentative="0">
      <w:start w:val="1"/>
      <w:numFmt w:val="chineseCounting"/>
      <w:suff w:val="nothing"/>
      <w:lvlText w:val="（%1）"/>
      <w:lvlJc w:val="left"/>
      <w:rPr>
        <w:rFonts w:hint="eastAsia"/>
      </w:rPr>
    </w:lvl>
  </w:abstractNum>
  <w:abstractNum w:abstractNumId="7">
    <w:nsid w:val="68D80774"/>
    <w:multiLevelType w:val="singleLevel"/>
    <w:tmpl w:val="68D80774"/>
    <w:lvl w:ilvl="0" w:tentative="0">
      <w:start w:val="2"/>
      <w:numFmt w:val="decimal"/>
      <w:suff w:val="nothing"/>
      <w:lvlText w:val="%1、"/>
      <w:lvlJc w:val="left"/>
    </w:lvl>
  </w:abstractNum>
  <w:abstractNum w:abstractNumId="8">
    <w:nsid w:val="716A80A6"/>
    <w:multiLevelType w:val="singleLevel"/>
    <w:tmpl w:val="716A80A6"/>
    <w:lvl w:ilvl="0" w:tentative="0">
      <w:start w:val="1"/>
      <w:numFmt w:val="decimal"/>
      <w:suff w:val="nothing"/>
      <w:lvlText w:val="%1、"/>
      <w:lvlJc w:val="left"/>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6A8"/>
    <w:rsid w:val="000F2374"/>
    <w:rsid w:val="00157994"/>
    <w:rsid w:val="00196464"/>
    <w:rsid w:val="001A461F"/>
    <w:rsid w:val="001E03C4"/>
    <w:rsid w:val="004F1C0F"/>
    <w:rsid w:val="006476A4"/>
    <w:rsid w:val="00683C97"/>
    <w:rsid w:val="006C5989"/>
    <w:rsid w:val="00B533BA"/>
    <w:rsid w:val="00B5369A"/>
    <w:rsid w:val="00B86C63"/>
    <w:rsid w:val="00F6001A"/>
    <w:rsid w:val="00FB464A"/>
    <w:rsid w:val="01484498"/>
    <w:rsid w:val="015A5DA4"/>
    <w:rsid w:val="015B0F02"/>
    <w:rsid w:val="01601FBD"/>
    <w:rsid w:val="01835DE7"/>
    <w:rsid w:val="018D1412"/>
    <w:rsid w:val="01AD5265"/>
    <w:rsid w:val="01BD04CB"/>
    <w:rsid w:val="01C6497A"/>
    <w:rsid w:val="01DA3246"/>
    <w:rsid w:val="02046721"/>
    <w:rsid w:val="022F77BA"/>
    <w:rsid w:val="02773649"/>
    <w:rsid w:val="027C455A"/>
    <w:rsid w:val="02A5204D"/>
    <w:rsid w:val="02C5624C"/>
    <w:rsid w:val="02C900A6"/>
    <w:rsid w:val="02DE0658"/>
    <w:rsid w:val="032412D5"/>
    <w:rsid w:val="0375759C"/>
    <w:rsid w:val="037C14F3"/>
    <w:rsid w:val="039F3082"/>
    <w:rsid w:val="03B34375"/>
    <w:rsid w:val="03DC2AE5"/>
    <w:rsid w:val="03E0141E"/>
    <w:rsid w:val="03E42350"/>
    <w:rsid w:val="040751D5"/>
    <w:rsid w:val="041C460E"/>
    <w:rsid w:val="043B4A36"/>
    <w:rsid w:val="04484B5E"/>
    <w:rsid w:val="04702FDE"/>
    <w:rsid w:val="047E5D5A"/>
    <w:rsid w:val="048844B4"/>
    <w:rsid w:val="048A4DF6"/>
    <w:rsid w:val="04A61857"/>
    <w:rsid w:val="04B11491"/>
    <w:rsid w:val="04C660E3"/>
    <w:rsid w:val="05342EBA"/>
    <w:rsid w:val="054D4287"/>
    <w:rsid w:val="05660CDD"/>
    <w:rsid w:val="057259BC"/>
    <w:rsid w:val="058547E0"/>
    <w:rsid w:val="0599586C"/>
    <w:rsid w:val="05A5657B"/>
    <w:rsid w:val="05B70236"/>
    <w:rsid w:val="05BF4FAD"/>
    <w:rsid w:val="05C40AE4"/>
    <w:rsid w:val="05C50217"/>
    <w:rsid w:val="05D03F8E"/>
    <w:rsid w:val="05F43D78"/>
    <w:rsid w:val="05FC1BCE"/>
    <w:rsid w:val="0605452D"/>
    <w:rsid w:val="060F67AE"/>
    <w:rsid w:val="062505E3"/>
    <w:rsid w:val="06375712"/>
    <w:rsid w:val="06603EAE"/>
    <w:rsid w:val="06647567"/>
    <w:rsid w:val="067E3656"/>
    <w:rsid w:val="06C01524"/>
    <w:rsid w:val="06D9239A"/>
    <w:rsid w:val="07212187"/>
    <w:rsid w:val="074E0443"/>
    <w:rsid w:val="07784B43"/>
    <w:rsid w:val="07A15665"/>
    <w:rsid w:val="07B14D4A"/>
    <w:rsid w:val="07F3482A"/>
    <w:rsid w:val="082E604A"/>
    <w:rsid w:val="083A5DAB"/>
    <w:rsid w:val="085757B2"/>
    <w:rsid w:val="085A7932"/>
    <w:rsid w:val="086C1C8F"/>
    <w:rsid w:val="086D1201"/>
    <w:rsid w:val="086F0AEC"/>
    <w:rsid w:val="08810272"/>
    <w:rsid w:val="08811CFC"/>
    <w:rsid w:val="08B61AA0"/>
    <w:rsid w:val="08BA33A2"/>
    <w:rsid w:val="08C64718"/>
    <w:rsid w:val="08D57A14"/>
    <w:rsid w:val="092D313D"/>
    <w:rsid w:val="094B7823"/>
    <w:rsid w:val="09544537"/>
    <w:rsid w:val="09544E45"/>
    <w:rsid w:val="095C17D7"/>
    <w:rsid w:val="095F1865"/>
    <w:rsid w:val="09653749"/>
    <w:rsid w:val="09684C3B"/>
    <w:rsid w:val="09760464"/>
    <w:rsid w:val="09816BA7"/>
    <w:rsid w:val="098B15BE"/>
    <w:rsid w:val="09964615"/>
    <w:rsid w:val="09A514C8"/>
    <w:rsid w:val="09C0332C"/>
    <w:rsid w:val="09C47505"/>
    <w:rsid w:val="09CA7221"/>
    <w:rsid w:val="09D42AB6"/>
    <w:rsid w:val="0A380AA4"/>
    <w:rsid w:val="0A521F75"/>
    <w:rsid w:val="0A5F62CF"/>
    <w:rsid w:val="0A602295"/>
    <w:rsid w:val="0A670031"/>
    <w:rsid w:val="0A8A1781"/>
    <w:rsid w:val="0A8B3402"/>
    <w:rsid w:val="0A934EB8"/>
    <w:rsid w:val="0AB847D4"/>
    <w:rsid w:val="0ABC4038"/>
    <w:rsid w:val="0ACC44F9"/>
    <w:rsid w:val="0AD84EA7"/>
    <w:rsid w:val="0ADB3464"/>
    <w:rsid w:val="0ADB3FD0"/>
    <w:rsid w:val="0B0F43B4"/>
    <w:rsid w:val="0B1254EF"/>
    <w:rsid w:val="0B23142A"/>
    <w:rsid w:val="0B456992"/>
    <w:rsid w:val="0B5109E7"/>
    <w:rsid w:val="0B514E5A"/>
    <w:rsid w:val="0B642882"/>
    <w:rsid w:val="0B950519"/>
    <w:rsid w:val="0C070912"/>
    <w:rsid w:val="0C332E87"/>
    <w:rsid w:val="0C34557E"/>
    <w:rsid w:val="0C6E2C79"/>
    <w:rsid w:val="0C723E0A"/>
    <w:rsid w:val="0C77411A"/>
    <w:rsid w:val="0CBF68F9"/>
    <w:rsid w:val="0CDD0DE5"/>
    <w:rsid w:val="0D1D2EB3"/>
    <w:rsid w:val="0D30448A"/>
    <w:rsid w:val="0D377C00"/>
    <w:rsid w:val="0D5A07A9"/>
    <w:rsid w:val="0D744DF6"/>
    <w:rsid w:val="0D815A3C"/>
    <w:rsid w:val="0D913F97"/>
    <w:rsid w:val="0DA36863"/>
    <w:rsid w:val="0DA75CA3"/>
    <w:rsid w:val="0DAD2910"/>
    <w:rsid w:val="0DC90253"/>
    <w:rsid w:val="0DEC4896"/>
    <w:rsid w:val="0DFE5A98"/>
    <w:rsid w:val="0E1D5501"/>
    <w:rsid w:val="0E594DEA"/>
    <w:rsid w:val="0E595450"/>
    <w:rsid w:val="0E7924EE"/>
    <w:rsid w:val="0E7F44FB"/>
    <w:rsid w:val="0E8C4902"/>
    <w:rsid w:val="0EB556B9"/>
    <w:rsid w:val="0EC76ABA"/>
    <w:rsid w:val="0EF93606"/>
    <w:rsid w:val="0F061B9B"/>
    <w:rsid w:val="0F1A3C12"/>
    <w:rsid w:val="0F346E2A"/>
    <w:rsid w:val="0F377D3A"/>
    <w:rsid w:val="0F386DC6"/>
    <w:rsid w:val="0F4D364C"/>
    <w:rsid w:val="0F507EBE"/>
    <w:rsid w:val="0F511063"/>
    <w:rsid w:val="0F762540"/>
    <w:rsid w:val="0F825190"/>
    <w:rsid w:val="0F89202F"/>
    <w:rsid w:val="0FBA6B68"/>
    <w:rsid w:val="0FBB1C44"/>
    <w:rsid w:val="0FBF5C5B"/>
    <w:rsid w:val="0FDE66A8"/>
    <w:rsid w:val="0FFB73D8"/>
    <w:rsid w:val="1005046D"/>
    <w:rsid w:val="10070DFE"/>
    <w:rsid w:val="103318EB"/>
    <w:rsid w:val="1034148D"/>
    <w:rsid w:val="103C5E9A"/>
    <w:rsid w:val="10655CCA"/>
    <w:rsid w:val="106E1ED9"/>
    <w:rsid w:val="106E4EC9"/>
    <w:rsid w:val="10852C86"/>
    <w:rsid w:val="10AC1CD5"/>
    <w:rsid w:val="10C15A53"/>
    <w:rsid w:val="10E30D37"/>
    <w:rsid w:val="10F64D7B"/>
    <w:rsid w:val="10F91D0C"/>
    <w:rsid w:val="1108193F"/>
    <w:rsid w:val="112D1746"/>
    <w:rsid w:val="11860B85"/>
    <w:rsid w:val="118969FA"/>
    <w:rsid w:val="11C73CF6"/>
    <w:rsid w:val="11FF2330"/>
    <w:rsid w:val="12616BD4"/>
    <w:rsid w:val="126572FA"/>
    <w:rsid w:val="12664FD2"/>
    <w:rsid w:val="129279A0"/>
    <w:rsid w:val="129475D3"/>
    <w:rsid w:val="12B46820"/>
    <w:rsid w:val="12D66968"/>
    <w:rsid w:val="12EB30B1"/>
    <w:rsid w:val="12F312D7"/>
    <w:rsid w:val="131E1466"/>
    <w:rsid w:val="1332538B"/>
    <w:rsid w:val="133D3FE4"/>
    <w:rsid w:val="13485A62"/>
    <w:rsid w:val="134E0F7F"/>
    <w:rsid w:val="135055A4"/>
    <w:rsid w:val="1351395F"/>
    <w:rsid w:val="139027E6"/>
    <w:rsid w:val="13982C65"/>
    <w:rsid w:val="13B54BCD"/>
    <w:rsid w:val="13E10094"/>
    <w:rsid w:val="13FB0342"/>
    <w:rsid w:val="13FF0AFA"/>
    <w:rsid w:val="14004191"/>
    <w:rsid w:val="14013C19"/>
    <w:rsid w:val="141868A0"/>
    <w:rsid w:val="1429259E"/>
    <w:rsid w:val="14432578"/>
    <w:rsid w:val="14440257"/>
    <w:rsid w:val="1446029A"/>
    <w:rsid w:val="146C7725"/>
    <w:rsid w:val="147E13D4"/>
    <w:rsid w:val="14982DE9"/>
    <w:rsid w:val="149A0D5C"/>
    <w:rsid w:val="149C0322"/>
    <w:rsid w:val="14C55A4B"/>
    <w:rsid w:val="1501129A"/>
    <w:rsid w:val="15032AA4"/>
    <w:rsid w:val="15113577"/>
    <w:rsid w:val="151A532C"/>
    <w:rsid w:val="15212867"/>
    <w:rsid w:val="15542702"/>
    <w:rsid w:val="155B753D"/>
    <w:rsid w:val="15833AB0"/>
    <w:rsid w:val="15A734BA"/>
    <w:rsid w:val="15C56D4D"/>
    <w:rsid w:val="15DA0412"/>
    <w:rsid w:val="15E54B58"/>
    <w:rsid w:val="15F90FC2"/>
    <w:rsid w:val="16014E5F"/>
    <w:rsid w:val="161441C1"/>
    <w:rsid w:val="161A56DE"/>
    <w:rsid w:val="162D3D19"/>
    <w:rsid w:val="16531611"/>
    <w:rsid w:val="16643011"/>
    <w:rsid w:val="16650EF8"/>
    <w:rsid w:val="16851DB1"/>
    <w:rsid w:val="16871A3A"/>
    <w:rsid w:val="16876968"/>
    <w:rsid w:val="169C305E"/>
    <w:rsid w:val="16A6695F"/>
    <w:rsid w:val="16D932BE"/>
    <w:rsid w:val="16DC6C69"/>
    <w:rsid w:val="16EC0767"/>
    <w:rsid w:val="17034B60"/>
    <w:rsid w:val="171A282A"/>
    <w:rsid w:val="17535863"/>
    <w:rsid w:val="176000E6"/>
    <w:rsid w:val="17820AB7"/>
    <w:rsid w:val="17882DFD"/>
    <w:rsid w:val="1791577B"/>
    <w:rsid w:val="17934600"/>
    <w:rsid w:val="17934802"/>
    <w:rsid w:val="179A596E"/>
    <w:rsid w:val="179D39F9"/>
    <w:rsid w:val="17DB18F0"/>
    <w:rsid w:val="17FE1944"/>
    <w:rsid w:val="17FF5842"/>
    <w:rsid w:val="182A1FCF"/>
    <w:rsid w:val="18581C9E"/>
    <w:rsid w:val="185B77B5"/>
    <w:rsid w:val="186A0EF8"/>
    <w:rsid w:val="187D3450"/>
    <w:rsid w:val="18821F45"/>
    <w:rsid w:val="189828C0"/>
    <w:rsid w:val="18A40458"/>
    <w:rsid w:val="18CB51D2"/>
    <w:rsid w:val="18DA0135"/>
    <w:rsid w:val="18E26CE2"/>
    <w:rsid w:val="190A6ABE"/>
    <w:rsid w:val="19183A5F"/>
    <w:rsid w:val="19473FA8"/>
    <w:rsid w:val="19813F2F"/>
    <w:rsid w:val="198F5A23"/>
    <w:rsid w:val="198F6479"/>
    <w:rsid w:val="19933AA7"/>
    <w:rsid w:val="19957B3F"/>
    <w:rsid w:val="199949D1"/>
    <w:rsid w:val="19A24AE1"/>
    <w:rsid w:val="19B5773A"/>
    <w:rsid w:val="19B66A0D"/>
    <w:rsid w:val="19B9506D"/>
    <w:rsid w:val="19CA34FD"/>
    <w:rsid w:val="19D8157D"/>
    <w:rsid w:val="19DF7DE0"/>
    <w:rsid w:val="19E36581"/>
    <w:rsid w:val="19F05431"/>
    <w:rsid w:val="19FD0724"/>
    <w:rsid w:val="1A12154C"/>
    <w:rsid w:val="1A147BF3"/>
    <w:rsid w:val="1A374F68"/>
    <w:rsid w:val="1A431025"/>
    <w:rsid w:val="1A6251B3"/>
    <w:rsid w:val="1A8067F2"/>
    <w:rsid w:val="1A8C4C28"/>
    <w:rsid w:val="1AB85029"/>
    <w:rsid w:val="1AC1207B"/>
    <w:rsid w:val="1ACB4565"/>
    <w:rsid w:val="1AD56201"/>
    <w:rsid w:val="1B232C7E"/>
    <w:rsid w:val="1B3C197B"/>
    <w:rsid w:val="1B3C6D5E"/>
    <w:rsid w:val="1B3F3F89"/>
    <w:rsid w:val="1B475D59"/>
    <w:rsid w:val="1B8D1EFE"/>
    <w:rsid w:val="1BA53AA4"/>
    <w:rsid w:val="1BA61A17"/>
    <w:rsid w:val="1BB55E4D"/>
    <w:rsid w:val="1BD67212"/>
    <w:rsid w:val="1C0032B0"/>
    <w:rsid w:val="1C0E048D"/>
    <w:rsid w:val="1C132F1C"/>
    <w:rsid w:val="1C2F442D"/>
    <w:rsid w:val="1C4C5EFE"/>
    <w:rsid w:val="1C682F83"/>
    <w:rsid w:val="1C9731F5"/>
    <w:rsid w:val="1C9A0026"/>
    <w:rsid w:val="1CAF2211"/>
    <w:rsid w:val="1CCF1D2F"/>
    <w:rsid w:val="1CD22DD4"/>
    <w:rsid w:val="1CE95311"/>
    <w:rsid w:val="1CF9400F"/>
    <w:rsid w:val="1CF95C7F"/>
    <w:rsid w:val="1D1804FC"/>
    <w:rsid w:val="1D227C0C"/>
    <w:rsid w:val="1D2C0EFB"/>
    <w:rsid w:val="1D594038"/>
    <w:rsid w:val="1D9001ED"/>
    <w:rsid w:val="1D9C4092"/>
    <w:rsid w:val="1DB86222"/>
    <w:rsid w:val="1DCD7A18"/>
    <w:rsid w:val="1DD077C6"/>
    <w:rsid w:val="1E10385C"/>
    <w:rsid w:val="1E3B4312"/>
    <w:rsid w:val="1E572D75"/>
    <w:rsid w:val="1E5A2650"/>
    <w:rsid w:val="1EA842F1"/>
    <w:rsid w:val="1EB00A69"/>
    <w:rsid w:val="1EB43CC6"/>
    <w:rsid w:val="1EB975C7"/>
    <w:rsid w:val="1ECF00D6"/>
    <w:rsid w:val="1EE577AE"/>
    <w:rsid w:val="1EEF65CD"/>
    <w:rsid w:val="1F137D49"/>
    <w:rsid w:val="1F254D04"/>
    <w:rsid w:val="1F4F3F09"/>
    <w:rsid w:val="1F696F41"/>
    <w:rsid w:val="1F76547E"/>
    <w:rsid w:val="1FB900AD"/>
    <w:rsid w:val="1FD43453"/>
    <w:rsid w:val="1FFC67A1"/>
    <w:rsid w:val="20146366"/>
    <w:rsid w:val="201E72B6"/>
    <w:rsid w:val="202066CA"/>
    <w:rsid w:val="20382768"/>
    <w:rsid w:val="204337C6"/>
    <w:rsid w:val="204F1B07"/>
    <w:rsid w:val="206065C3"/>
    <w:rsid w:val="206E2F4A"/>
    <w:rsid w:val="20844F8E"/>
    <w:rsid w:val="208D64A4"/>
    <w:rsid w:val="209803E8"/>
    <w:rsid w:val="209B0983"/>
    <w:rsid w:val="209F7C44"/>
    <w:rsid w:val="20C943D8"/>
    <w:rsid w:val="20EB2889"/>
    <w:rsid w:val="21091A75"/>
    <w:rsid w:val="21120F09"/>
    <w:rsid w:val="211B3F09"/>
    <w:rsid w:val="211E3F23"/>
    <w:rsid w:val="214367C6"/>
    <w:rsid w:val="21481918"/>
    <w:rsid w:val="2162155D"/>
    <w:rsid w:val="216451B4"/>
    <w:rsid w:val="2167166D"/>
    <w:rsid w:val="217455EE"/>
    <w:rsid w:val="21797206"/>
    <w:rsid w:val="218B28C7"/>
    <w:rsid w:val="21947661"/>
    <w:rsid w:val="21977821"/>
    <w:rsid w:val="21D06265"/>
    <w:rsid w:val="21F112E1"/>
    <w:rsid w:val="22186C1A"/>
    <w:rsid w:val="22494C1A"/>
    <w:rsid w:val="225C2F16"/>
    <w:rsid w:val="22612711"/>
    <w:rsid w:val="2276409D"/>
    <w:rsid w:val="228E4EC2"/>
    <w:rsid w:val="22911BE6"/>
    <w:rsid w:val="22915A14"/>
    <w:rsid w:val="22C553E7"/>
    <w:rsid w:val="22ED6A7C"/>
    <w:rsid w:val="22FA56F4"/>
    <w:rsid w:val="23167E49"/>
    <w:rsid w:val="23263C52"/>
    <w:rsid w:val="233F2A39"/>
    <w:rsid w:val="23647218"/>
    <w:rsid w:val="239535BA"/>
    <w:rsid w:val="23A43F1D"/>
    <w:rsid w:val="23E64FFC"/>
    <w:rsid w:val="23FD085E"/>
    <w:rsid w:val="240710FA"/>
    <w:rsid w:val="24165789"/>
    <w:rsid w:val="241F3335"/>
    <w:rsid w:val="242E7777"/>
    <w:rsid w:val="24590BD7"/>
    <w:rsid w:val="245A6A05"/>
    <w:rsid w:val="24636A2E"/>
    <w:rsid w:val="24694DA5"/>
    <w:rsid w:val="246B7378"/>
    <w:rsid w:val="247E4A83"/>
    <w:rsid w:val="248368D6"/>
    <w:rsid w:val="24841F89"/>
    <w:rsid w:val="249938D0"/>
    <w:rsid w:val="249B0A14"/>
    <w:rsid w:val="24A55D32"/>
    <w:rsid w:val="24C42B2E"/>
    <w:rsid w:val="24CB3945"/>
    <w:rsid w:val="24CD0D35"/>
    <w:rsid w:val="253D5942"/>
    <w:rsid w:val="253E7418"/>
    <w:rsid w:val="25753AA4"/>
    <w:rsid w:val="25826D2C"/>
    <w:rsid w:val="258F7599"/>
    <w:rsid w:val="25AF7273"/>
    <w:rsid w:val="25B27F69"/>
    <w:rsid w:val="25BE3146"/>
    <w:rsid w:val="25CA7792"/>
    <w:rsid w:val="25DA2402"/>
    <w:rsid w:val="25DD751D"/>
    <w:rsid w:val="260226DF"/>
    <w:rsid w:val="2612545C"/>
    <w:rsid w:val="261462F5"/>
    <w:rsid w:val="261502C8"/>
    <w:rsid w:val="26185AB9"/>
    <w:rsid w:val="263767F7"/>
    <w:rsid w:val="263A1418"/>
    <w:rsid w:val="26435442"/>
    <w:rsid w:val="2657406D"/>
    <w:rsid w:val="26584C7A"/>
    <w:rsid w:val="265B09FB"/>
    <w:rsid w:val="267B4D4D"/>
    <w:rsid w:val="268735B6"/>
    <w:rsid w:val="26CD2C82"/>
    <w:rsid w:val="26EC07D9"/>
    <w:rsid w:val="27427D00"/>
    <w:rsid w:val="274314B0"/>
    <w:rsid w:val="27460728"/>
    <w:rsid w:val="27661152"/>
    <w:rsid w:val="276B5D5A"/>
    <w:rsid w:val="277D3C1F"/>
    <w:rsid w:val="27A17447"/>
    <w:rsid w:val="27A968EA"/>
    <w:rsid w:val="27E30C5F"/>
    <w:rsid w:val="27FB5DA7"/>
    <w:rsid w:val="280861FD"/>
    <w:rsid w:val="2832572E"/>
    <w:rsid w:val="2835741C"/>
    <w:rsid w:val="285577BA"/>
    <w:rsid w:val="28566E37"/>
    <w:rsid w:val="285C482B"/>
    <w:rsid w:val="2888673C"/>
    <w:rsid w:val="28983446"/>
    <w:rsid w:val="28A676A4"/>
    <w:rsid w:val="28C12D53"/>
    <w:rsid w:val="28CA7126"/>
    <w:rsid w:val="28D55C55"/>
    <w:rsid w:val="28D61B4D"/>
    <w:rsid w:val="28E642DF"/>
    <w:rsid w:val="28E76E8D"/>
    <w:rsid w:val="28EE4586"/>
    <w:rsid w:val="28F76680"/>
    <w:rsid w:val="290C363F"/>
    <w:rsid w:val="291139E1"/>
    <w:rsid w:val="29256DA1"/>
    <w:rsid w:val="29430B28"/>
    <w:rsid w:val="2960550F"/>
    <w:rsid w:val="29650700"/>
    <w:rsid w:val="2986172E"/>
    <w:rsid w:val="299044E6"/>
    <w:rsid w:val="29926631"/>
    <w:rsid w:val="299A568A"/>
    <w:rsid w:val="29BA7822"/>
    <w:rsid w:val="29EC5FA6"/>
    <w:rsid w:val="29FC3AAA"/>
    <w:rsid w:val="2A166AC6"/>
    <w:rsid w:val="2A280F11"/>
    <w:rsid w:val="2A301F2F"/>
    <w:rsid w:val="2A3711C8"/>
    <w:rsid w:val="2A3C4B1E"/>
    <w:rsid w:val="2A854B2B"/>
    <w:rsid w:val="2A977E72"/>
    <w:rsid w:val="2AAC6200"/>
    <w:rsid w:val="2AB434FD"/>
    <w:rsid w:val="2ACD0AF9"/>
    <w:rsid w:val="2AD85AAA"/>
    <w:rsid w:val="2B146A3F"/>
    <w:rsid w:val="2B39354E"/>
    <w:rsid w:val="2B3E1099"/>
    <w:rsid w:val="2B495547"/>
    <w:rsid w:val="2B501F6A"/>
    <w:rsid w:val="2B5C140C"/>
    <w:rsid w:val="2B637F7D"/>
    <w:rsid w:val="2B6A762D"/>
    <w:rsid w:val="2B831ADA"/>
    <w:rsid w:val="2BB00200"/>
    <w:rsid w:val="2BB81C54"/>
    <w:rsid w:val="2BD51AF2"/>
    <w:rsid w:val="2BD546F0"/>
    <w:rsid w:val="2BE939DE"/>
    <w:rsid w:val="2BEA5C49"/>
    <w:rsid w:val="2BEB0ADF"/>
    <w:rsid w:val="2C073497"/>
    <w:rsid w:val="2C22107E"/>
    <w:rsid w:val="2C311A7E"/>
    <w:rsid w:val="2C375C9B"/>
    <w:rsid w:val="2C666765"/>
    <w:rsid w:val="2C686113"/>
    <w:rsid w:val="2C77023E"/>
    <w:rsid w:val="2CDB5F54"/>
    <w:rsid w:val="2CE26DEC"/>
    <w:rsid w:val="2CFF066C"/>
    <w:rsid w:val="2D383E62"/>
    <w:rsid w:val="2D4A0B20"/>
    <w:rsid w:val="2D672674"/>
    <w:rsid w:val="2D9A7501"/>
    <w:rsid w:val="2D9B1D6B"/>
    <w:rsid w:val="2DA51022"/>
    <w:rsid w:val="2DB4248A"/>
    <w:rsid w:val="2DB7792A"/>
    <w:rsid w:val="2DD00702"/>
    <w:rsid w:val="2E0C5FF9"/>
    <w:rsid w:val="2E12279B"/>
    <w:rsid w:val="2E2950AE"/>
    <w:rsid w:val="2E460D08"/>
    <w:rsid w:val="2E472D4A"/>
    <w:rsid w:val="2E4D4F47"/>
    <w:rsid w:val="2E8C4156"/>
    <w:rsid w:val="2E932E97"/>
    <w:rsid w:val="2EA41954"/>
    <w:rsid w:val="2EA661A7"/>
    <w:rsid w:val="2EB61F23"/>
    <w:rsid w:val="2EC06F12"/>
    <w:rsid w:val="2EC966C6"/>
    <w:rsid w:val="2ECC6469"/>
    <w:rsid w:val="2ECD7506"/>
    <w:rsid w:val="2EE36994"/>
    <w:rsid w:val="2EF0014D"/>
    <w:rsid w:val="2F040B97"/>
    <w:rsid w:val="2F453977"/>
    <w:rsid w:val="2F467C22"/>
    <w:rsid w:val="2F475A44"/>
    <w:rsid w:val="2F4A0659"/>
    <w:rsid w:val="2F8312BC"/>
    <w:rsid w:val="2F841662"/>
    <w:rsid w:val="2F881060"/>
    <w:rsid w:val="2F933EBF"/>
    <w:rsid w:val="2F993EDD"/>
    <w:rsid w:val="2F9A53CF"/>
    <w:rsid w:val="2FE20ACB"/>
    <w:rsid w:val="2FF2350E"/>
    <w:rsid w:val="2FFA4663"/>
    <w:rsid w:val="2FFC7899"/>
    <w:rsid w:val="302A6CF9"/>
    <w:rsid w:val="305D612E"/>
    <w:rsid w:val="30627CCE"/>
    <w:rsid w:val="30882E1C"/>
    <w:rsid w:val="30AE1E7F"/>
    <w:rsid w:val="30E515AC"/>
    <w:rsid w:val="30E91955"/>
    <w:rsid w:val="30F150EE"/>
    <w:rsid w:val="31141C6A"/>
    <w:rsid w:val="316236DF"/>
    <w:rsid w:val="316A313A"/>
    <w:rsid w:val="316A3405"/>
    <w:rsid w:val="31A17F75"/>
    <w:rsid w:val="31A544A7"/>
    <w:rsid w:val="31B11DAD"/>
    <w:rsid w:val="31BF11B7"/>
    <w:rsid w:val="31C84B77"/>
    <w:rsid w:val="31CC41E1"/>
    <w:rsid w:val="31F9551F"/>
    <w:rsid w:val="32300F81"/>
    <w:rsid w:val="32333B31"/>
    <w:rsid w:val="327D3F80"/>
    <w:rsid w:val="32837CE5"/>
    <w:rsid w:val="32AB5010"/>
    <w:rsid w:val="32C32EF4"/>
    <w:rsid w:val="32DB61B6"/>
    <w:rsid w:val="32DD6AA9"/>
    <w:rsid w:val="32EF6A11"/>
    <w:rsid w:val="32F24E29"/>
    <w:rsid w:val="330D4CA9"/>
    <w:rsid w:val="330E7402"/>
    <w:rsid w:val="3322234F"/>
    <w:rsid w:val="3342512B"/>
    <w:rsid w:val="33476F49"/>
    <w:rsid w:val="334B34A8"/>
    <w:rsid w:val="3352027B"/>
    <w:rsid w:val="33572FB3"/>
    <w:rsid w:val="337C5C46"/>
    <w:rsid w:val="337D0C79"/>
    <w:rsid w:val="337E78B0"/>
    <w:rsid w:val="33891FB5"/>
    <w:rsid w:val="338D2D3A"/>
    <w:rsid w:val="33AA7D74"/>
    <w:rsid w:val="33C85845"/>
    <w:rsid w:val="340F3DB1"/>
    <w:rsid w:val="3410282A"/>
    <w:rsid w:val="34141111"/>
    <w:rsid w:val="341540BC"/>
    <w:rsid w:val="342900B6"/>
    <w:rsid w:val="342A21B3"/>
    <w:rsid w:val="34347E5D"/>
    <w:rsid w:val="344B30FE"/>
    <w:rsid w:val="34BF1D63"/>
    <w:rsid w:val="34C3080D"/>
    <w:rsid w:val="34C75B42"/>
    <w:rsid w:val="34CC2CB9"/>
    <w:rsid w:val="34CF7B89"/>
    <w:rsid w:val="34D61205"/>
    <w:rsid w:val="34EE5D88"/>
    <w:rsid w:val="34F27D3D"/>
    <w:rsid w:val="35087187"/>
    <w:rsid w:val="350D4CCE"/>
    <w:rsid w:val="35135454"/>
    <w:rsid w:val="35353945"/>
    <w:rsid w:val="35370C07"/>
    <w:rsid w:val="355D4F81"/>
    <w:rsid w:val="357A7F86"/>
    <w:rsid w:val="358F0850"/>
    <w:rsid w:val="35940463"/>
    <w:rsid w:val="359D440F"/>
    <w:rsid w:val="35BB1445"/>
    <w:rsid w:val="35C144AA"/>
    <w:rsid w:val="35CD65E6"/>
    <w:rsid w:val="35D27CE0"/>
    <w:rsid w:val="35D36D29"/>
    <w:rsid w:val="35E93EC1"/>
    <w:rsid w:val="35FA0418"/>
    <w:rsid w:val="360302A3"/>
    <w:rsid w:val="364C4389"/>
    <w:rsid w:val="3652388E"/>
    <w:rsid w:val="36622663"/>
    <w:rsid w:val="36632976"/>
    <w:rsid w:val="36771541"/>
    <w:rsid w:val="3678399A"/>
    <w:rsid w:val="36A14160"/>
    <w:rsid w:val="36A60FF7"/>
    <w:rsid w:val="36BC0455"/>
    <w:rsid w:val="36C713FA"/>
    <w:rsid w:val="36D2204A"/>
    <w:rsid w:val="36D97872"/>
    <w:rsid w:val="36E07898"/>
    <w:rsid w:val="36E35BC5"/>
    <w:rsid w:val="36F500DA"/>
    <w:rsid w:val="370C0B00"/>
    <w:rsid w:val="37240AE6"/>
    <w:rsid w:val="372E5352"/>
    <w:rsid w:val="37360555"/>
    <w:rsid w:val="373F773D"/>
    <w:rsid w:val="37651A1A"/>
    <w:rsid w:val="376569F0"/>
    <w:rsid w:val="376A4B1E"/>
    <w:rsid w:val="376D4949"/>
    <w:rsid w:val="378528A1"/>
    <w:rsid w:val="3795799A"/>
    <w:rsid w:val="37A145CB"/>
    <w:rsid w:val="37C72F00"/>
    <w:rsid w:val="37DB2024"/>
    <w:rsid w:val="37DD1175"/>
    <w:rsid w:val="37FF20E0"/>
    <w:rsid w:val="38092AEB"/>
    <w:rsid w:val="3824442B"/>
    <w:rsid w:val="38261299"/>
    <w:rsid w:val="3853068A"/>
    <w:rsid w:val="38571751"/>
    <w:rsid w:val="385B30BD"/>
    <w:rsid w:val="385C7A62"/>
    <w:rsid w:val="38807815"/>
    <w:rsid w:val="38947CEB"/>
    <w:rsid w:val="38980714"/>
    <w:rsid w:val="38A153BC"/>
    <w:rsid w:val="38A3052B"/>
    <w:rsid w:val="38A3615E"/>
    <w:rsid w:val="38A47088"/>
    <w:rsid w:val="38D30660"/>
    <w:rsid w:val="38E7453B"/>
    <w:rsid w:val="3904243C"/>
    <w:rsid w:val="394B4CCB"/>
    <w:rsid w:val="395420D1"/>
    <w:rsid w:val="395F58B4"/>
    <w:rsid w:val="397D23EA"/>
    <w:rsid w:val="39912095"/>
    <w:rsid w:val="3997021D"/>
    <w:rsid w:val="39A8265D"/>
    <w:rsid w:val="39AA0085"/>
    <w:rsid w:val="39B37714"/>
    <w:rsid w:val="39B46607"/>
    <w:rsid w:val="39CA1478"/>
    <w:rsid w:val="39CD6048"/>
    <w:rsid w:val="39CE10D5"/>
    <w:rsid w:val="39D625BC"/>
    <w:rsid w:val="39FC07F6"/>
    <w:rsid w:val="3A004662"/>
    <w:rsid w:val="3A1D2413"/>
    <w:rsid w:val="3A207EE1"/>
    <w:rsid w:val="3A320568"/>
    <w:rsid w:val="3A551115"/>
    <w:rsid w:val="3A5575A6"/>
    <w:rsid w:val="3A726780"/>
    <w:rsid w:val="3A761520"/>
    <w:rsid w:val="3A841CFE"/>
    <w:rsid w:val="3A8F548E"/>
    <w:rsid w:val="3AEC4415"/>
    <w:rsid w:val="3B191081"/>
    <w:rsid w:val="3B246ACB"/>
    <w:rsid w:val="3B297F05"/>
    <w:rsid w:val="3B387FB2"/>
    <w:rsid w:val="3B465167"/>
    <w:rsid w:val="3B86392F"/>
    <w:rsid w:val="3B8E5184"/>
    <w:rsid w:val="3BA23D5D"/>
    <w:rsid w:val="3BAF0956"/>
    <w:rsid w:val="3BD74A14"/>
    <w:rsid w:val="3BEA2FD6"/>
    <w:rsid w:val="3BF346E6"/>
    <w:rsid w:val="3BF44F48"/>
    <w:rsid w:val="3C265187"/>
    <w:rsid w:val="3C564D2C"/>
    <w:rsid w:val="3C5D394D"/>
    <w:rsid w:val="3C603059"/>
    <w:rsid w:val="3C9716CB"/>
    <w:rsid w:val="3C995202"/>
    <w:rsid w:val="3C9F25FE"/>
    <w:rsid w:val="3CD04344"/>
    <w:rsid w:val="3CD71C7C"/>
    <w:rsid w:val="3CE64F5A"/>
    <w:rsid w:val="3D0F4E6F"/>
    <w:rsid w:val="3D227A7E"/>
    <w:rsid w:val="3D6F517B"/>
    <w:rsid w:val="3D73348E"/>
    <w:rsid w:val="3D81073D"/>
    <w:rsid w:val="3DB06A3D"/>
    <w:rsid w:val="3DBB4004"/>
    <w:rsid w:val="3DDF0A31"/>
    <w:rsid w:val="3DED76B4"/>
    <w:rsid w:val="3DF95E7B"/>
    <w:rsid w:val="3DFB76E2"/>
    <w:rsid w:val="3E1A3856"/>
    <w:rsid w:val="3E2306F0"/>
    <w:rsid w:val="3E265BD5"/>
    <w:rsid w:val="3E5F7B4D"/>
    <w:rsid w:val="3E893265"/>
    <w:rsid w:val="3E971D16"/>
    <w:rsid w:val="3EA6403C"/>
    <w:rsid w:val="3EBB1D95"/>
    <w:rsid w:val="3EC477EE"/>
    <w:rsid w:val="3EDD70F8"/>
    <w:rsid w:val="3EDD7FC7"/>
    <w:rsid w:val="3EE06401"/>
    <w:rsid w:val="3EE318A1"/>
    <w:rsid w:val="3EE4301A"/>
    <w:rsid w:val="3EFA0EC3"/>
    <w:rsid w:val="3F0A15FE"/>
    <w:rsid w:val="3F0C0CF1"/>
    <w:rsid w:val="3F2A2EFB"/>
    <w:rsid w:val="3F341B9B"/>
    <w:rsid w:val="3F360653"/>
    <w:rsid w:val="3F4D4E6E"/>
    <w:rsid w:val="3F5B21CE"/>
    <w:rsid w:val="3F7775D1"/>
    <w:rsid w:val="3F7D5B98"/>
    <w:rsid w:val="3FA4577B"/>
    <w:rsid w:val="3FAA1A2B"/>
    <w:rsid w:val="3FE411C5"/>
    <w:rsid w:val="3FEB5A32"/>
    <w:rsid w:val="3FED7BB9"/>
    <w:rsid w:val="3FFF51A3"/>
    <w:rsid w:val="401D0E12"/>
    <w:rsid w:val="403D24E8"/>
    <w:rsid w:val="404F0744"/>
    <w:rsid w:val="40516BA6"/>
    <w:rsid w:val="406E03E8"/>
    <w:rsid w:val="40851575"/>
    <w:rsid w:val="40994E30"/>
    <w:rsid w:val="40A96710"/>
    <w:rsid w:val="40AF1878"/>
    <w:rsid w:val="40B60285"/>
    <w:rsid w:val="40C13882"/>
    <w:rsid w:val="40C53638"/>
    <w:rsid w:val="40D7262C"/>
    <w:rsid w:val="40DA18A4"/>
    <w:rsid w:val="40DD1692"/>
    <w:rsid w:val="40FB4D0F"/>
    <w:rsid w:val="41105AF1"/>
    <w:rsid w:val="411A7CC6"/>
    <w:rsid w:val="412305D0"/>
    <w:rsid w:val="413B312D"/>
    <w:rsid w:val="41407B12"/>
    <w:rsid w:val="41597FE3"/>
    <w:rsid w:val="41621C0F"/>
    <w:rsid w:val="41BF7A04"/>
    <w:rsid w:val="41DA5659"/>
    <w:rsid w:val="41DB40E0"/>
    <w:rsid w:val="41E84E6D"/>
    <w:rsid w:val="42381964"/>
    <w:rsid w:val="424E3F76"/>
    <w:rsid w:val="42797D06"/>
    <w:rsid w:val="427D7985"/>
    <w:rsid w:val="42C42299"/>
    <w:rsid w:val="42C53B89"/>
    <w:rsid w:val="42E86E7E"/>
    <w:rsid w:val="432B5888"/>
    <w:rsid w:val="433E3B61"/>
    <w:rsid w:val="43545B84"/>
    <w:rsid w:val="437F5AAB"/>
    <w:rsid w:val="43A760D4"/>
    <w:rsid w:val="43A96C22"/>
    <w:rsid w:val="43AA5FFA"/>
    <w:rsid w:val="43AF2EA1"/>
    <w:rsid w:val="43BE0417"/>
    <w:rsid w:val="43C534F8"/>
    <w:rsid w:val="43CF0940"/>
    <w:rsid w:val="43F008A8"/>
    <w:rsid w:val="43F3109D"/>
    <w:rsid w:val="44026BA5"/>
    <w:rsid w:val="440357A5"/>
    <w:rsid w:val="440F4885"/>
    <w:rsid w:val="441244CF"/>
    <w:rsid w:val="44201A46"/>
    <w:rsid w:val="44443497"/>
    <w:rsid w:val="44490827"/>
    <w:rsid w:val="44517C9D"/>
    <w:rsid w:val="44602648"/>
    <w:rsid w:val="44640B44"/>
    <w:rsid w:val="446B1190"/>
    <w:rsid w:val="44A069A3"/>
    <w:rsid w:val="44A97C5C"/>
    <w:rsid w:val="44BE36F7"/>
    <w:rsid w:val="44C10ADA"/>
    <w:rsid w:val="44CF7AC9"/>
    <w:rsid w:val="44D340B6"/>
    <w:rsid w:val="44D60FFA"/>
    <w:rsid w:val="44E036A6"/>
    <w:rsid w:val="44E1399E"/>
    <w:rsid w:val="4506598D"/>
    <w:rsid w:val="45202CB2"/>
    <w:rsid w:val="4532401E"/>
    <w:rsid w:val="455C3D6B"/>
    <w:rsid w:val="4561458C"/>
    <w:rsid w:val="456541DD"/>
    <w:rsid w:val="458364A2"/>
    <w:rsid w:val="45A031FB"/>
    <w:rsid w:val="45A26E2D"/>
    <w:rsid w:val="45C801C9"/>
    <w:rsid w:val="45CC209D"/>
    <w:rsid w:val="45D67737"/>
    <w:rsid w:val="45F73E33"/>
    <w:rsid w:val="45FC6DE7"/>
    <w:rsid w:val="45FE617F"/>
    <w:rsid w:val="461B0942"/>
    <w:rsid w:val="46437839"/>
    <w:rsid w:val="464B5824"/>
    <w:rsid w:val="465D2AAA"/>
    <w:rsid w:val="46680F51"/>
    <w:rsid w:val="468832A8"/>
    <w:rsid w:val="469845D1"/>
    <w:rsid w:val="46A70901"/>
    <w:rsid w:val="46C7775C"/>
    <w:rsid w:val="46E419D4"/>
    <w:rsid w:val="46FC70E8"/>
    <w:rsid w:val="47146DFA"/>
    <w:rsid w:val="47162751"/>
    <w:rsid w:val="47195F23"/>
    <w:rsid w:val="473629E7"/>
    <w:rsid w:val="4749706B"/>
    <w:rsid w:val="475E49A2"/>
    <w:rsid w:val="476C21D8"/>
    <w:rsid w:val="47853BAE"/>
    <w:rsid w:val="479925FE"/>
    <w:rsid w:val="479B4246"/>
    <w:rsid w:val="479F7355"/>
    <w:rsid w:val="47BA16A8"/>
    <w:rsid w:val="47DD3C39"/>
    <w:rsid w:val="47DF094F"/>
    <w:rsid w:val="47E60295"/>
    <w:rsid w:val="482079DB"/>
    <w:rsid w:val="482A0FC1"/>
    <w:rsid w:val="483D0BCD"/>
    <w:rsid w:val="485B40B0"/>
    <w:rsid w:val="48626F43"/>
    <w:rsid w:val="4866027B"/>
    <w:rsid w:val="486B5D65"/>
    <w:rsid w:val="4878578C"/>
    <w:rsid w:val="4899670B"/>
    <w:rsid w:val="48A61DEC"/>
    <w:rsid w:val="48FA0495"/>
    <w:rsid w:val="48FB3421"/>
    <w:rsid w:val="49012DD7"/>
    <w:rsid w:val="494975B5"/>
    <w:rsid w:val="495C2AB9"/>
    <w:rsid w:val="495D0831"/>
    <w:rsid w:val="49895B4E"/>
    <w:rsid w:val="49913886"/>
    <w:rsid w:val="499502D8"/>
    <w:rsid w:val="49A15F1B"/>
    <w:rsid w:val="49E36E1A"/>
    <w:rsid w:val="49E75387"/>
    <w:rsid w:val="49E815A6"/>
    <w:rsid w:val="4A0C30B0"/>
    <w:rsid w:val="4A4404BC"/>
    <w:rsid w:val="4A58180B"/>
    <w:rsid w:val="4A7C65D8"/>
    <w:rsid w:val="4A7E1B36"/>
    <w:rsid w:val="4A7F7567"/>
    <w:rsid w:val="4A891573"/>
    <w:rsid w:val="4AB35A07"/>
    <w:rsid w:val="4ACF5A37"/>
    <w:rsid w:val="4AD923C5"/>
    <w:rsid w:val="4AE46F5A"/>
    <w:rsid w:val="4AF85C8F"/>
    <w:rsid w:val="4B09188F"/>
    <w:rsid w:val="4B104FCA"/>
    <w:rsid w:val="4B126B75"/>
    <w:rsid w:val="4B2C7069"/>
    <w:rsid w:val="4B3B4388"/>
    <w:rsid w:val="4B3E6C8A"/>
    <w:rsid w:val="4B4505E9"/>
    <w:rsid w:val="4B4D1850"/>
    <w:rsid w:val="4B4D2743"/>
    <w:rsid w:val="4B57084D"/>
    <w:rsid w:val="4B6401A1"/>
    <w:rsid w:val="4B72799B"/>
    <w:rsid w:val="4B9330FE"/>
    <w:rsid w:val="4BCE1392"/>
    <w:rsid w:val="4BFF23A7"/>
    <w:rsid w:val="4C053F05"/>
    <w:rsid w:val="4C1B6E75"/>
    <w:rsid w:val="4C1E6F10"/>
    <w:rsid w:val="4C31303A"/>
    <w:rsid w:val="4C394349"/>
    <w:rsid w:val="4C3D0B43"/>
    <w:rsid w:val="4C863645"/>
    <w:rsid w:val="4CCF5C86"/>
    <w:rsid w:val="4CF8309F"/>
    <w:rsid w:val="4CFA7661"/>
    <w:rsid w:val="4D1074FD"/>
    <w:rsid w:val="4D5114F9"/>
    <w:rsid w:val="4D5C6A98"/>
    <w:rsid w:val="4D711721"/>
    <w:rsid w:val="4D984FB7"/>
    <w:rsid w:val="4D9B2DCE"/>
    <w:rsid w:val="4DAB1EBD"/>
    <w:rsid w:val="4DC97919"/>
    <w:rsid w:val="4DCB3E66"/>
    <w:rsid w:val="4DEC0108"/>
    <w:rsid w:val="4DFD0637"/>
    <w:rsid w:val="4E024CD2"/>
    <w:rsid w:val="4E1A53B3"/>
    <w:rsid w:val="4E2E28D6"/>
    <w:rsid w:val="4E421983"/>
    <w:rsid w:val="4E4831E4"/>
    <w:rsid w:val="4E4E43A6"/>
    <w:rsid w:val="4E8A4C4C"/>
    <w:rsid w:val="4EB9425C"/>
    <w:rsid w:val="4ECB2CA9"/>
    <w:rsid w:val="4ECD74AA"/>
    <w:rsid w:val="4ED31ACE"/>
    <w:rsid w:val="4EE7266A"/>
    <w:rsid w:val="4EED1B0B"/>
    <w:rsid w:val="4F0475F2"/>
    <w:rsid w:val="4F101522"/>
    <w:rsid w:val="4F172F50"/>
    <w:rsid w:val="4F1E397F"/>
    <w:rsid w:val="4F24087E"/>
    <w:rsid w:val="4F5613FD"/>
    <w:rsid w:val="4F577EFB"/>
    <w:rsid w:val="4F9D060D"/>
    <w:rsid w:val="4FAB7053"/>
    <w:rsid w:val="4FB71834"/>
    <w:rsid w:val="4FD5138D"/>
    <w:rsid w:val="4FDF21C7"/>
    <w:rsid w:val="4FF825F4"/>
    <w:rsid w:val="5048216F"/>
    <w:rsid w:val="504A2FEA"/>
    <w:rsid w:val="50564447"/>
    <w:rsid w:val="50917921"/>
    <w:rsid w:val="50AD3ED7"/>
    <w:rsid w:val="50B36E3A"/>
    <w:rsid w:val="50B92C98"/>
    <w:rsid w:val="50C16D1B"/>
    <w:rsid w:val="50CC24E8"/>
    <w:rsid w:val="50D51A61"/>
    <w:rsid w:val="50F80BB5"/>
    <w:rsid w:val="50F9367A"/>
    <w:rsid w:val="50FA2316"/>
    <w:rsid w:val="51155A61"/>
    <w:rsid w:val="51415F65"/>
    <w:rsid w:val="514341CA"/>
    <w:rsid w:val="51524CF7"/>
    <w:rsid w:val="51573F99"/>
    <w:rsid w:val="51A11651"/>
    <w:rsid w:val="51A14212"/>
    <w:rsid w:val="51A6232D"/>
    <w:rsid w:val="51AA4AF6"/>
    <w:rsid w:val="51B304A9"/>
    <w:rsid w:val="51B40BF9"/>
    <w:rsid w:val="51D23022"/>
    <w:rsid w:val="51F6727B"/>
    <w:rsid w:val="52091CD1"/>
    <w:rsid w:val="523346B9"/>
    <w:rsid w:val="524B7ABC"/>
    <w:rsid w:val="526E0625"/>
    <w:rsid w:val="528F4A42"/>
    <w:rsid w:val="52995732"/>
    <w:rsid w:val="52B23CAC"/>
    <w:rsid w:val="52B4782F"/>
    <w:rsid w:val="52CA3426"/>
    <w:rsid w:val="52E00F0E"/>
    <w:rsid w:val="52FE4DC0"/>
    <w:rsid w:val="52FF16AD"/>
    <w:rsid w:val="53046D15"/>
    <w:rsid w:val="531D329D"/>
    <w:rsid w:val="531F2EC3"/>
    <w:rsid w:val="537F658B"/>
    <w:rsid w:val="53B166CE"/>
    <w:rsid w:val="53B77895"/>
    <w:rsid w:val="53B92FFD"/>
    <w:rsid w:val="53CD5ACF"/>
    <w:rsid w:val="53F868E4"/>
    <w:rsid w:val="54243ED8"/>
    <w:rsid w:val="54257D02"/>
    <w:rsid w:val="54481B0D"/>
    <w:rsid w:val="546E1F8C"/>
    <w:rsid w:val="54754705"/>
    <w:rsid w:val="54874EA8"/>
    <w:rsid w:val="548A6D83"/>
    <w:rsid w:val="549814CF"/>
    <w:rsid w:val="55032872"/>
    <w:rsid w:val="55260AE7"/>
    <w:rsid w:val="55452094"/>
    <w:rsid w:val="55B166A0"/>
    <w:rsid w:val="55CE2F59"/>
    <w:rsid w:val="55DB441D"/>
    <w:rsid w:val="563313B3"/>
    <w:rsid w:val="566977C8"/>
    <w:rsid w:val="56B21FBD"/>
    <w:rsid w:val="56EC6A7B"/>
    <w:rsid w:val="56F10F2B"/>
    <w:rsid w:val="570B1BB9"/>
    <w:rsid w:val="57170D7A"/>
    <w:rsid w:val="57355B6F"/>
    <w:rsid w:val="574A028E"/>
    <w:rsid w:val="578D2D8C"/>
    <w:rsid w:val="57CE6478"/>
    <w:rsid w:val="57D150A5"/>
    <w:rsid w:val="57D20FE5"/>
    <w:rsid w:val="57D81D5B"/>
    <w:rsid w:val="57F15559"/>
    <w:rsid w:val="57FD2785"/>
    <w:rsid w:val="580172C9"/>
    <w:rsid w:val="583D46A2"/>
    <w:rsid w:val="584E58B9"/>
    <w:rsid w:val="585C0896"/>
    <w:rsid w:val="586F55D7"/>
    <w:rsid w:val="587A0059"/>
    <w:rsid w:val="58820546"/>
    <w:rsid w:val="58826E2B"/>
    <w:rsid w:val="589F4CAF"/>
    <w:rsid w:val="58D0478A"/>
    <w:rsid w:val="58E8613A"/>
    <w:rsid w:val="59045DD6"/>
    <w:rsid w:val="592523ED"/>
    <w:rsid w:val="592D5C1F"/>
    <w:rsid w:val="594164AA"/>
    <w:rsid w:val="59543BA6"/>
    <w:rsid w:val="59622246"/>
    <w:rsid w:val="596800DE"/>
    <w:rsid w:val="596E5076"/>
    <w:rsid w:val="59795400"/>
    <w:rsid w:val="59C20794"/>
    <w:rsid w:val="59F16850"/>
    <w:rsid w:val="5A346FDA"/>
    <w:rsid w:val="5A3E5ACA"/>
    <w:rsid w:val="5A3F7737"/>
    <w:rsid w:val="5A7406B3"/>
    <w:rsid w:val="5A7F4A08"/>
    <w:rsid w:val="5A9F3F45"/>
    <w:rsid w:val="5AC973B2"/>
    <w:rsid w:val="5ADB5648"/>
    <w:rsid w:val="5ADC6665"/>
    <w:rsid w:val="5B0D4F9A"/>
    <w:rsid w:val="5B3A5120"/>
    <w:rsid w:val="5B463A9E"/>
    <w:rsid w:val="5B620AA1"/>
    <w:rsid w:val="5B690C85"/>
    <w:rsid w:val="5BA17AC9"/>
    <w:rsid w:val="5BCA293E"/>
    <w:rsid w:val="5BCE12F5"/>
    <w:rsid w:val="5C4B6D3A"/>
    <w:rsid w:val="5C4C1663"/>
    <w:rsid w:val="5C674EF9"/>
    <w:rsid w:val="5C765140"/>
    <w:rsid w:val="5CB6718F"/>
    <w:rsid w:val="5CB80027"/>
    <w:rsid w:val="5CCB6A54"/>
    <w:rsid w:val="5CCE50B5"/>
    <w:rsid w:val="5CD64E9C"/>
    <w:rsid w:val="5CE16453"/>
    <w:rsid w:val="5CEC2941"/>
    <w:rsid w:val="5D1125F5"/>
    <w:rsid w:val="5D234D87"/>
    <w:rsid w:val="5D3F3B4E"/>
    <w:rsid w:val="5D532CEF"/>
    <w:rsid w:val="5D601286"/>
    <w:rsid w:val="5D774135"/>
    <w:rsid w:val="5D807E38"/>
    <w:rsid w:val="5D88291D"/>
    <w:rsid w:val="5D8A2E42"/>
    <w:rsid w:val="5D954FD0"/>
    <w:rsid w:val="5DA90CB4"/>
    <w:rsid w:val="5DC841A5"/>
    <w:rsid w:val="5DE10C12"/>
    <w:rsid w:val="5E08742C"/>
    <w:rsid w:val="5E1407D4"/>
    <w:rsid w:val="5E6A4EF4"/>
    <w:rsid w:val="5E905683"/>
    <w:rsid w:val="5E993BF8"/>
    <w:rsid w:val="5EB07AFC"/>
    <w:rsid w:val="5EB66FE6"/>
    <w:rsid w:val="5EFC5A0B"/>
    <w:rsid w:val="5F095610"/>
    <w:rsid w:val="5F3245D4"/>
    <w:rsid w:val="5F485161"/>
    <w:rsid w:val="5F69438F"/>
    <w:rsid w:val="5F6E03F6"/>
    <w:rsid w:val="5F896DA4"/>
    <w:rsid w:val="5F8E3AA3"/>
    <w:rsid w:val="5FA95E01"/>
    <w:rsid w:val="5FDC1A45"/>
    <w:rsid w:val="5FDE601B"/>
    <w:rsid w:val="5FED10C6"/>
    <w:rsid w:val="5FF562EE"/>
    <w:rsid w:val="60014E26"/>
    <w:rsid w:val="601B6DD0"/>
    <w:rsid w:val="60224577"/>
    <w:rsid w:val="602C2538"/>
    <w:rsid w:val="603161C4"/>
    <w:rsid w:val="606A04BA"/>
    <w:rsid w:val="60714474"/>
    <w:rsid w:val="60733DF9"/>
    <w:rsid w:val="60746332"/>
    <w:rsid w:val="60761628"/>
    <w:rsid w:val="60775366"/>
    <w:rsid w:val="60A61CD8"/>
    <w:rsid w:val="60AA7688"/>
    <w:rsid w:val="60AD2CDB"/>
    <w:rsid w:val="60BA135F"/>
    <w:rsid w:val="60D31F39"/>
    <w:rsid w:val="60E60E39"/>
    <w:rsid w:val="61360EB8"/>
    <w:rsid w:val="615740CB"/>
    <w:rsid w:val="61615B53"/>
    <w:rsid w:val="616A0942"/>
    <w:rsid w:val="61895948"/>
    <w:rsid w:val="61A039D3"/>
    <w:rsid w:val="61B76C3C"/>
    <w:rsid w:val="61C44C10"/>
    <w:rsid w:val="61CC7CB6"/>
    <w:rsid w:val="61E104E1"/>
    <w:rsid w:val="61EE0AD4"/>
    <w:rsid w:val="61F0314B"/>
    <w:rsid w:val="62055B7F"/>
    <w:rsid w:val="62156872"/>
    <w:rsid w:val="62334F98"/>
    <w:rsid w:val="623845DD"/>
    <w:rsid w:val="62592097"/>
    <w:rsid w:val="6268035B"/>
    <w:rsid w:val="62727EF1"/>
    <w:rsid w:val="6274148B"/>
    <w:rsid w:val="627F0A5D"/>
    <w:rsid w:val="62A01B2D"/>
    <w:rsid w:val="62A9115A"/>
    <w:rsid w:val="62D52154"/>
    <w:rsid w:val="62D62D08"/>
    <w:rsid w:val="62DE3BB9"/>
    <w:rsid w:val="62E14CDC"/>
    <w:rsid w:val="62F16C64"/>
    <w:rsid w:val="62F84DF0"/>
    <w:rsid w:val="63102B7D"/>
    <w:rsid w:val="63137CBF"/>
    <w:rsid w:val="6323792F"/>
    <w:rsid w:val="6324769B"/>
    <w:rsid w:val="635A694B"/>
    <w:rsid w:val="6369728B"/>
    <w:rsid w:val="63892475"/>
    <w:rsid w:val="639C41ED"/>
    <w:rsid w:val="63AB5E4F"/>
    <w:rsid w:val="63CE27F0"/>
    <w:rsid w:val="63D148EB"/>
    <w:rsid w:val="63D53478"/>
    <w:rsid w:val="63DE12DB"/>
    <w:rsid w:val="64030B7A"/>
    <w:rsid w:val="640C1A1F"/>
    <w:rsid w:val="642957CC"/>
    <w:rsid w:val="642F38EF"/>
    <w:rsid w:val="64300072"/>
    <w:rsid w:val="644A2EFE"/>
    <w:rsid w:val="646638BB"/>
    <w:rsid w:val="64E4651F"/>
    <w:rsid w:val="64F16DCA"/>
    <w:rsid w:val="64FD0B8E"/>
    <w:rsid w:val="650A4C59"/>
    <w:rsid w:val="65215149"/>
    <w:rsid w:val="65317718"/>
    <w:rsid w:val="65334478"/>
    <w:rsid w:val="654838E2"/>
    <w:rsid w:val="6597534D"/>
    <w:rsid w:val="65A1007B"/>
    <w:rsid w:val="65B52059"/>
    <w:rsid w:val="65DA4A7E"/>
    <w:rsid w:val="65E1199C"/>
    <w:rsid w:val="65E37EEC"/>
    <w:rsid w:val="65E74C0C"/>
    <w:rsid w:val="66024C46"/>
    <w:rsid w:val="6607198C"/>
    <w:rsid w:val="66216B4F"/>
    <w:rsid w:val="66542E30"/>
    <w:rsid w:val="669071A4"/>
    <w:rsid w:val="66B72747"/>
    <w:rsid w:val="66D131D6"/>
    <w:rsid w:val="67151872"/>
    <w:rsid w:val="672556D5"/>
    <w:rsid w:val="675E440B"/>
    <w:rsid w:val="67936E12"/>
    <w:rsid w:val="67AF42B9"/>
    <w:rsid w:val="67B32792"/>
    <w:rsid w:val="67B6223B"/>
    <w:rsid w:val="67BE36ED"/>
    <w:rsid w:val="67E5744F"/>
    <w:rsid w:val="67EC0B02"/>
    <w:rsid w:val="67FA5506"/>
    <w:rsid w:val="67FB3235"/>
    <w:rsid w:val="68070EFE"/>
    <w:rsid w:val="683A67F7"/>
    <w:rsid w:val="68457336"/>
    <w:rsid w:val="689412E9"/>
    <w:rsid w:val="689D1A58"/>
    <w:rsid w:val="68AF3430"/>
    <w:rsid w:val="68B50AE2"/>
    <w:rsid w:val="68BC69FE"/>
    <w:rsid w:val="68FB4165"/>
    <w:rsid w:val="68FF751E"/>
    <w:rsid w:val="69147160"/>
    <w:rsid w:val="691E530C"/>
    <w:rsid w:val="692331CD"/>
    <w:rsid w:val="693B441D"/>
    <w:rsid w:val="69503C9E"/>
    <w:rsid w:val="696570F7"/>
    <w:rsid w:val="698555EC"/>
    <w:rsid w:val="698A127E"/>
    <w:rsid w:val="69984934"/>
    <w:rsid w:val="69B30377"/>
    <w:rsid w:val="69FF162A"/>
    <w:rsid w:val="6A0A6AE3"/>
    <w:rsid w:val="6A1B6734"/>
    <w:rsid w:val="6A21031A"/>
    <w:rsid w:val="6A3F1BFA"/>
    <w:rsid w:val="6A45443B"/>
    <w:rsid w:val="6A6D5D5C"/>
    <w:rsid w:val="6A9A1F8D"/>
    <w:rsid w:val="6A9C6DD0"/>
    <w:rsid w:val="6AA076D6"/>
    <w:rsid w:val="6AD21D3A"/>
    <w:rsid w:val="6AEA0A63"/>
    <w:rsid w:val="6AEA4B8E"/>
    <w:rsid w:val="6AF309EC"/>
    <w:rsid w:val="6AF46EA4"/>
    <w:rsid w:val="6B0570CF"/>
    <w:rsid w:val="6B2A2246"/>
    <w:rsid w:val="6B3C5956"/>
    <w:rsid w:val="6B446E36"/>
    <w:rsid w:val="6B515BCE"/>
    <w:rsid w:val="6B574B42"/>
    <w:rsid w:val="6B705FA3"/>
    <w:rsid w:val="6B810531"/>
    <w:rsid w:val="6B8C14A4"/>
    <w:rsid w:val="6B9F5C2F"/>
    <w:rsid w:val="6BCF053E"/>
    <w:rsid w:val="6BD04608"/>
    <w:rsid w:val="6C0C3AC1"/>
    <w:rsid w:val="6C3B5292"/>
    <w:rsid w:val="6C430909"/>
    <w:rsid w:val="6C5F2247"/>
    <w:rsid w:val="6C6263CC"/>
    <w:rsid w:val="6C637F0B"/>
    <w:rsid w:val="6C673D70"/>
    <w:rsid w:val="6C6F7C41"/>
    <w:rsid w:val="6C892113"/>
    <w:rsid w:val="6C9F394F"/>
    <w:rsid w:val="6CA1050D"/>
    <w:rsid w:val="6CAD19DA"/>
    <w:rsid w:val="6CAD5DA8"/>
    <w:rsid w:val="6CC26431"/>
    <w:rsid w:val="6CEF288A"/>
    <w:rsid w:val="6D0E073C"/>
    <w:rsid w:val="6D0F4F1B"/>
    <w:rsid w:val="6D124B15"/>
    <w:rsid w:val="6D2A571C"/>
    <w:rsid w:val="6D3712FB"/>
    <w:rsid w:val="6D3C7FE7"/>
    <w:rsid w:val="6D483A56"/>
    <w:rsid w:val="6D627CE3"/>
    <w:rsid w:val="6D731DB4"/>
    <w:rsid w:val="6D7C01F4"/>
    <w:rsid w:val="6D850B6C"/>
    <w:rsid w:val="6D8F0F3D"/>
    <w:rsid w:val="6D9253DE"/>
    <w:rsid w:val="6DAE03C6"/>
    <w:rsid w:val="6DBF10A8"/>
    <w:rsid w:val="6DC55AFB"/>
    <w:rsid w:val="6DFB231A"/>
    <w:rsid w:val="6E057E52"/>
    <w:rsid w:val="6E0B009B"/>
    <w:rsid w:val="6E111346"/>
    <w:rsid w:val="6E242431"/>
    <w:rsid w:val="6E2B6881"/>
    <w:rsid w:val="6E3943AF"/>
    <w:rsid w:val="6E3B54FC"/>
    <w:rsid w:val="6E3E189B"/>
    <w:rsid w:val="6E4B2BF4"/>
    <w:rsid w:val="6E871FFF"/>
    <w:rsid w:val="6E884815"/>
    <w:rsid w:val="6EB46FA4"/>
    <w:rsid w:val="6EB57CA6"/>
    <w:rsid w:val="6ECE7F94"/>
    <w:rsid w:val="6ED95C50"/>
    <w:rsid w:val="6EE6034D"/>
    <w:rsid w:val="6EE82BAD"/>
    <w:rsid w:val="6EEC4917"/>
    <w:rsid w:val="6F006C83"/>
    <w:rsid w:val="6F205E2E"/>
    <w:rsid w:val="6F28369D"/>
    <w:rsid w:val="6F423C15"/>
    <w:rsid w:val="6F4C6787"/>
    <w:rsid w:val="6F5B5EE2"/>
    <w:rsid w:val="6F6308BF"/>
    <w:rsid w:val="6F6B1199"/>
    <w:rsid w:val="6FB33162"/>
    <w:rsid w:val="6FCF41C7"/>
    <w:rsid w:val="6FD87668"/>
    <w:rsid w:val="6FD954F8"/>
    <w:rsid w:val="6FEA67DF"/>
    <w:rsid w:val="6FF433A6"/>
    <w:rsid w:val="701A5B00"/>
    <w:rsid w:val="703C6D6A"/>
    <w:rsid w:val="7047393E"/>
    <w:rsid w:val="705D09BE"/>
    <w:rsid w:val="70B41105"/>
    <w:rsid w:val="70B9259D"/>
    <w:rsid w:val="70C47BCA"/>
    <w:rsid w:val="70CF4DC2"/>
    <w:rsid w:val="70F90B0A"/>
    <w:rsid w:val="710A5D23"/>
    <w:rsid w:val="713A14D5"/>
    <w:rsid w:val="71403910"/>
    <w:rsid w:val="715420A1"/>
    <w:rsid w:val="7158547B"/>
    <w:rsid w:val="71601D57"/>
    <w:rsid w:val="716E788B"/>
    <w:rsid w:val="71AD2376"/>
    <w:rsid w:val="71BE5AE6"/>
    <w:rsid w:val="71C51A5B"/>
    <w:rsid w:val="71C811D6"/>
    <w:rsid w:val="71CB1A18"/>
    <w:rsid w:val="71D70476"/>
    <w:rsid w:val="71DB6453"/>
    <w:rsid w:val="72302D36"/>
    <w:rsid w:val="72324E1C"/>
    <w:rsid w:val="723A6EF0"/>
    <w:rsid w:val="72655C1C"/>
    <w:rsid w:val="726B009D"/>
    <w:rsid w:val="727C7C06"/>
    <w:rsid w:val="728618B0"/>
    <w:rsid w:val="729A3A29"/>
    <w:rsid w:val="729C0A69"/>
    <w:rsid w:val="72A37CB3"/>
    <w:rsid w:val="72AD7FB3"/>
    <w:rsid w:val="730F590E"/>
    <w:rsid w:val="73112982"/>
    <w:rsid w:val="73196677"/>
    <w:rsid w:val="732D5A93"/>
    <w:rsid w:val="735F6A22"/>
    <w:rsid w:val="738A1470"/>
    <w:rsid w:val="73E00EAA"/>
    <w:rsid w:val="73E66002"/>
    <w:rsid w:val="73E9095F"/>
    <w:rsid w:val="73EB6737"/>
    <w:rsid w:val="741151CA"/>
    <w:rsid w:val="7417486C"/>
    <w:rsid w:val="7423399F"/>
    <w:rsid w:val="74564E68"/>
    <w:rsid w:val="746054B4"/>
    <w:rsid w:val="74664CCE"/>
    <w:rsid w:val="746B0FA3"/>
    <w:rsid w:val="74724AB8"/>
    <w:rsid w:val="74830336"/>
    <w:rsid w:val="74856218"/>
    <w:rsid w:val="74877AE3"/>
    <w:rsid w:val="748D1975"/>
    <w:rsid w:val="74A73054"/>
    <w:rsid w:val="74A91877"/>
    <w:rsid w:val="74AE53D1"/>
    <w:rsid w:val="74B06EEE"/>
    <w:rsid w:val="74B365B4"/>
    <w:rsid w:val="74BF4E6C"/>
    <w:rsid w:val="74CF2E46"/>
    <w:rsid w:val="74D001D1"/>
    <w:rsid w:val="74E06666"/>
    <w:rsid w:val="74F62730"/>
    <w:rsid w:val="75173B67"/>
    <w:rsid w:val="752916B5"/>
    <w:rsid w:val="753774AC"/>
    <w:rsid w:val="7546343A"/>
    <w:rsid w:val="756A522C"/>
    <w:rsid w:val="758F0539"/>
    <w:rsid w:val="759F570C"/>
    <w:rsid w:val="75B904C5"/>
    <w:rsid w:val="75E243D5"/>
    <w:rsid w:val="75F202B1"/>
    <w:rsid w:val="75F469D6"/>
    <w:rsid w:val="762C6A3B"/>
    <w:rsid w:val="763A703F"/>
    <w:rsid w:val="764C30DA"/>
    <w:rsid w:val="766A3AA3"/>
    <w:rsid w:val="76752C69"/>
    <w:rsid w:val="76856297"/>
    <w:rsid w:val="768A2F3B"/>
    <w:rsid w:val="76A273B7"/>
    <w:rsid w:val="76A822A7"/>
    <w:rsid w:val="76D11A16"/>
    <w:rsid w:val="76D5462F"/>
    <w:rsid w:val="76E5625E"/>
    <w:rsid w:val="76F238FC"/>
    <w:rsid w:val="76FF20A9"/>
    <w:rsid w:val="771339F8"/>
    <w:rsid w:val="772872B8"/>
    <w:rsid w:val="7737781C"/>
    <w:rsid w:val="773F0F91"/>
    <w:rsid w:val="777142CA"/>
    <w:rsid w:val="777B3BE6"/>
    <w:rsid w:val="778B62C2"/>
    <w:rsid w:val="7795599E"/>
    <w:rsid w:val="77D62C8A"/>
    <w:rsid w:val="77DE5FDD"/>
    <w:rsid w:val="77EC2261"/>
    <w:rsid w:val="77FE68A5"/>
    <w:rsid w:val="780A4BB0"/>
    <w:rsid w:val="781F35DC"/>
    <w:rsid w:val="782244E8"/>
    <w:rsid w:val="78517047"/>
    <w:rsid w:val="78555C61"/>
    <w:rsid w:val="78641851"/>
    <w:rsid w:val="787601E9"/>
    <w:rsid w:val="78790BE3"/>
    <w:rsid w:val="78861753"/>
    <w:rsid w:val="78AC24B0"/>
    <w:rsid w:val="78D510E9"/>
    <w:rsid w:val="78FA1BBD"/>
    <w:rsid w:val="791A583A"/>
    <w:rsid w:val="79343D3E"/>
    <w:rsid w:val="793F6BD0"/>
    <w:rsid w:val="79403F71"/>
    <w:rsid w:val="794B41E0"/>
    <w:rsid w:val="79611FBC"/>
    <w:rsid w:val="79683DD5"/>
    <w:rsid w:val="799A7CF4"/>
    <w:rsid w:val="799E6EA6"/>
    <w:rsid w:val="79C7300A"/>
    <w:rsid w:val="79E8665D"/>
    <w:rsid w:val="79FA0B85"/>
    <w:rsid w:val="79FB48B3"/>
    <w:rsid w:val="7A096DF4"/>
    <w:rsid w:val="7A12647E"/>
    <w:rsid w:val="7A1D3B87"/>
    <w:rsid w:val="7A1F1F72"/>
    <w:rsid w:val="7A3E4815"/>
    <w:rsid w:val="7A524E22"/>
    <w:rsid w:val="7A61431F"/>
    <w:rsid w:val="7A75267E"/>
    <w:rsid w:val="7A7B7A14"/>
    <w:rsid w:val="7AB60E9E"/>
    <w:rsid w:val="7B1562AF"/>
    <w:rsid w:val="7B812063"/>
    <w:rsid w:val="7B8E307E"/>
    <w:rsid w:val="7BA17347"/>
    <w:rsid w:val="7BBF61D5"/>
    <w:rsid w:val="7BD37813"/>
    <w:rsid w:val="7BF706E4"/>
    <w:rsid w:val="7C1E3A6F"/>
    <w:rsid w:val="7C255E6D"/>
    <w:rsid w:val="7C410BE9"/>
    <w:rsid w:val="7C45570B"/>
    <w:rsid w:val="7C506F21"/>
    <w:rsid w:val="7C666BD6"/>
    <w:rsid w:val="7C6A01C3"/>
    <w:rsid w:val="7CA51089"/>
    <w:rsid w:val="7CAE77DD"/>
    <w:rsid w:val="7CD214C4"/>
    <w:rsid w:val="7CDC0BD1"/>
    <w:rsid w:val="7CE3769A"/>
    <w:rsid w:val="7D1148A6"/>
    <w:rsid w:val="7D215557"/>
    <w:rsid w:val="7D3B2C6B"/>
    <w:rsid w:val="7D3C5835"/>
    <w:rsid w:val="7D495E6B"/>
    <w:rsid w:val="7D961738"/>
    <w:rsid w:val="7D9760A7"/>
    <w:rsid w:val="7D977674"/>
    <w:rsid w:val="7D9D775B"/>
    <w:rsid w:val="7DE6325C"/>
    <w:rsid w:val="7E225B1B"/>
    <w:rsid w:val="7E3A7F26"/>
    <w:rsid w:val="7E580563"/>
    <w:rsid w:val="7E734560"/>
    <w:rsid w:val="7E9F0E63"/>
    <w:rsid w:val="7ECD296B"/>
    <w:rsid w:val="7ED606C6"/>
    <w:rsid w:val="7F261C4F"/>
    <w:rsid w:val="7F394EFF"/>
    <w:rsid w:val="7F46396A"/>
    <w:rsid w:val="7F5362A2"/>
    <w:rsid w:val="7F6D1491"/>
    <w:rsid w:val="7F751E23"/>
    <w:rsid w:val="7F91611C"/>
    <w:rsid w:val="7F9E6017"/>
    <w:rsid w:val="7FA516EC"/>
    <w:rsid w:val="7FAB25A0"/>
    <w:rsid w:val="7FBA510C"/>
    <w:rsid w:val="7FBD478D"/>
    <w:rsid w:val="7FF607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customStyle="1" w:styleId="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630-2</dc:creator>
  <cp:lastModifiedBy>Administrator</cp:lastModifiedBy>
  <dcterms:modified xsi:type="dcterms:W3CDTF">2021-06-23T03:31:55Z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1A29F20E1966459293C3B173AC04D032</vt:lpwstr>
  </property>
</Properties>
</file>